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72" w:rsidRDefault="00747EE9" w:rsidP="00722172">
      <w:pPr>
        <w:pStyle w:val="bpuReprint"/>
      </w:pPr>
      <w:r>
        <w:t>[Second Reprint]</w:t>
      </w:r>
    </w:p>
    <w:p w:rsidR="00AD6A77" w:rsidRDefault="00AD6A77" w:rsidP="00AD6A77">
      <w:pPr>
        <w:pStyle w:val="bpuBill"/>
      </w:pPr>
      <w:r>
        <w:t xml:space="preserve">SENATE, No. 765 </w:t>
      </w:r>
    </w:p>
    <w:p w:rsidR="00AD6A77" w:rsidRPr="00AD6A77" w:rsidRDefault="00AD6A77" w:rsidP="00AD6A7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5pt" o:ole="">
            <v:imagedata r:id="rId7" o:title=""/>
          </v:shape>
          <o:OLEObject Type="Embed" ProgID="WPWin6.1" ShapeID="_x0000_i1025" DrawAspect="Content" ObjectID="_1764750846" r:id="rId8"/>
        </w:object>
      </w:r>
    </w:p>
    <w:p w:rsidR="00AD6A77" w:rsidRDefault="00AD6A77" w:rsidP="00AD6A77">
      <w:pPr>
        <w:pStyle w:val="bpuState"/>
      </w:pPr>
      <w:r>
        <w:t>STATE OF NEW JERSEY</w:t>
      </w:r>
    </w:p>
    <w:p w:rsidR="00AD6A77" w:rsidRDefault="00AD6A77" w:rsidP="00AD6A77">
      <w:pPr>
        <w:pStyle w:val="bpuLegislature"/>
      </w:pPr>
      <w:r>
        <w:t>220th LEGISLATURE</w:t>
      </w:r>
    </w:p>
    <w:p w:rsidR="00AD6A77" w:rsidRDefault="00AD6A77" w:rsidP="00AD6A77">
      <w:pPr>
        <w:pStyle w:val="bpuWpGraphic"/>
      </w:pPr>
      <w:r>
        <w:object w:dxaOrig="8985" w:dyaOrig="255">
          <v:shape id="_x0000_i1026" type="#_x0000_t75" style="width:6in;height:11.55pt" o:ole="">
            <v:imagedata r:id="rId7" o:title=""/>
          </v:shape>
          <o:OLEObject Type="Embed" ProgID="WPWin6.1" ShapeID="_x0000_i1026" DrawAspect="Content" ObjectID="_1764750847" r:id="rId9"/>
        </w:object>
      </w:r>
      <w:r>
        <w:t xml:space="preserve">  </w:t>
      </w:r>
    </w:p>
    <w:p w:rsidR="00AD6A77" w:rsidRDefault="00AD6A77" w:rsidP="00AD6A77">
      <w:pPr>
        <w:pStyle w:val="bpuIntro"/>
      </w:pPr>
      <w:r>
        <w:t>PRE-FILED FOR INTRODUCTION IN THE 2022 SESSION</w:t>
      </w:r>
    </w:p>
    <w:p w:rsidR="00AD6A77" w:rsidRDefault="00AD6A77" w:rsidP="00AD6A77">
      <w:pPr>
        <w:pStyle w:val="bpuIntro"/>
      </w:pPr>
    </w:p>
    <w:p w:rsidR="00AD6A77" w:rsidRDefault="00AD6A77" w:rsidP="00AD6A77">
      <w:pPr>
        <w:pStyle w:val="bpuIntro"/>
        <w:sectPr w:rsidR="00AD6A77" w:rsidSect="00B55093">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AD6A77" w:rsidRDefault="00AD6A77" w:rsidP="00AD6A77">
      <w:pPr>
        <w:pStyle w:val="bpuIntro"/>
      </w:pPr>
    </w:p>
    <w:p w:rsidR="00AD6A77" w:rsidRDefault="00AD6A77" w:rsidP="00AD6A77">
      <w:pPr>
        <w:pStyle w:val="bpuSponsor"/>
      </w:pPr>
      <w:r>
        <w:t>Sponsored by:</w:t>
      </w:r>
    </w:p>
    <w:p w:rsidR="00AD6A77" w:rsidRDefault="00AD6A77" w:rsidP="00AD6A77">
      <w:pPr>
        <w:pStyle w:val="bpuSponsor"/>
      </w:pPr>
      <w:r>
        <w:t>Senator  NELLIE POU</w:t>
      </w:r>
    </w:p>
    <w:p w:rsidR="00AD6A77" w:rsidRDefault="00AD6A77" w:rsidP="00AD6A77">
      <w:pPr>
        <w:pStyle w:val="bpuSponsor"/>
      </w:pPr>
      <w:r>
        <w:t>District 35 (Bergen and Passaic)</w:t>
      </w:r>
    </w:p>
    <w:p w:rsidR="00AD6A77" w:rsidRDefault="00AD6A77" w:rsidP="00AD6A77">
      <w:pPr>
        <w:pStyle w:val="bpuSponsor"/>
      </w:pPr>
      <w:r>
        <w:t>Senator  JOSEPH PENNACCHIO</w:t>
      </w:r>
    </w:p>
    <w:p w:rsidR="00AD6A77" w:rsidRDefault="00AD6A77" w:rsidP="00AD6A77">
      <w:pPr>
        <w:pStyle w:val="bpuSponsor"/>
      </w:pPr>
      <w:r>
        <w:t>District 26 (Essex, Morris and Passaic)</w:t>
      </w:r>
    </w:p>
    <w:p w:rsidR="00AD6A77" w:rsidRDefault="00B55093" w:rsidP="00B55093">
      <w:pPr>
        <w:pStyle w:val="bpuSponsor"/>
      </w:pPr>
      <w:r>
        <w:t>Assemblywoman  PAMELA R. LAMPITT</w:t>
      </w:r>
    </w:p>
    <w:p w:rsidR="00B55093" w:rsidRDefault="00B55093" w:rsidP="00B55093">
      <w:pPr>
        <w:pStyle w:val="bpuSponsor"/>
      </w:pPr>
      <w:r>
        <w:t>District 6 (Burlington and Camden)</w:t>
      </w:r>
    </w:p>
    <w:p w:rsidR="00B55093" w:rsidRDefault="00B55093" w:rsidP="00B55093">
      <w:pPr>
        <w:pStyle w:val="bpuSponsor"/>
      </w:pPr>
      <w:r>
        <w:t>Assemblyman  GARY S. SCHAER</w:t>
      </w:r>
    </w:p>
    <w:p w:rsidR="00B55093" w:rsidRDefault="00B55093" w:rsidP="00B55093">
      <w:pPr>
        <w:pStyle w:val="bpuSponsor"/>
      </w:pPr>
      <w:r>
        <w:t>District 36 (Bergen and Passaic)</w:t>
      </w:r>
    </w:p>
    <w:p w:rsidR="00B55093" w:rsidRDefault="00B55093" w:rsidP="00B55093">
      <w:pPr>
        <w:pStyle w:val="bpuSponsor"/>
      </w:pPr>
      <w:r>
        <w:t>Assemblywoman  CAROL A. MURPHY</w:t>
      </w:r>
    </w:p>
    <w:p w:rsidR="00B55093" w:rsidRDefault="00B55093" w:rsidP="00B55093">
      <w:pPr>
        <w:pStyle w:val="bpuSponsor"/>
      </w:pPr>
      <w:r>
        <w:t>District 7 (Burlington)</w:t>
      </w:r>
    </w:p>
    <w:p w:rsidR="00B55093" w:rsidRPr="00B55093" w:rsidRDefault="00B55093" w:rsidP="00B55093"/>
    <w:p w:rsidR="00B7653C" w:rsidRDefault="00B55093" w:rsidP="00B55093">
      <w:pPr>
        <w:pStyle w:val="bpuSponsor"/>
      </w:pPr>
      <w:r>
        <w:t>Co-Sponsored by:</w:t>
      </w:r>
    </w:p>
    <w:p w:rsidR="00B55093" w:rsidRPr="00B55093" w:rsidRDefault="00B55093" w:rsidP="00B55093">
      <w:pPr>
        <w:pStyle w:val="bpuSponsor"/>
      </w:pPr>
      <w:r w:rsidRPr="00B55093">
        <w:t>Senator Bramnick and Assemblyman Conaway</w:t>
      </w:r>
      <w:bookmarkStart w:id="0" w:name="_GoBack"/>
      <w:bookmarkEnd w:id="0"/>
    </w:p>
    <w:p w:rsidR="00B7653C" w:rsidRDefault="00B7653C" w:rsidP="00B7653C"/>
    <w:p w:rsidR="00B7653C" w:rsidRPr="00B7653C" w:rsidRDefault="00B7653C" w:rsidP="00B7653C"/>
    <w:p w:rsidR="00AD6A77" w:rsidRDefault="00AD6A77" w:rsidP="00AD6A77">
      <w:pPr>
        <w:pStyle w:val="bpuSponsor"/>
      </w:pPr>
    </w:p>
    <w:p w:rsidR="00AD6A77" w:rsidRDefault="00AD6A77" w:rsidP="00AD6A77">
      <w:pPr>
        <w:pStyle w:val="bpuSponsor"/>
      </w:pPr>
    </w:p>
    <w:p w:rsidR="00AD6A77" w:rsidRDefault="00AD6A77" w:rsidP="00AD6A77">
      <w:pPr>
        <w:pStyle w:val="bpuSponsor"/>
      </w:pPr>
      <w:r>
        <w:t>SYNOPSIS</w:t>
      </w:r>
    </w:p>
    <w:p w:rsidR="00AD6A77" w:rsidRDefault="00AD6A77" w:rsidP="00AD6A77">
      <w:pPr>
        <w:pStyle w:val="bpuNormText"/>
      </w:pPr>
      <w:r>
        <w:tab/>
        <w:t xml:space="preserve">Prohibits carrier from precluding dentist from billing covered person under certain circumstances. </w:t>
      </w:r>
    </w:p>
    <w:p w:rsidR="00AD6A77" w:rsidRDefault="00AD6A77" w:rsidP="00AD6A77">
      <w:pPr>
        <w:pStyle w:val="bpuNormText"/>
      </w:pPr>
    </w:p>
    <w:p w:rsidR="00AD6A77" w:rsidRDefault="00AD6A77" w:rsidP="00AD6A77">
      <w:pPr>
        <w:pStyle w:val="bpuSponsor"/>
      </w:pPr>
      <w:r>
        <w:t xml:space="preserve">CURRENT VERSION OF TEXT </w:t>
      </w:r>
    </w:p>
    <w:p w:rsidR="00AD6A77" w:rsidRDefault="00747EE9" w:rsidP="00AD6A77">
      <w:pPr>
        <w:pStyle w:val="bpuNormText"/>
      </w:pPr>
      <w:r>
        <w:tab/>
        <w:t>As reported by the Assembly Financial Institutions and Insurance Committee on December 11, 2023, with amendments.</w:t>
      </w:r>
    </w:p>
    <w:p w:rsidR="00AD6A77" w:rsidRDefault="00AD6A77" w:rsidP="00AD6A7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D6A77" w:rsidRDefault="00AD6A7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D6A77" w:rsidSect="00AD6A77">
          <w:type w:val="continuous"/>
          <w:pgSz w:w="12240" w:h="20160" w:code="5"/>
          <w:pgMar w:top="2160" w:right="2275" w:bottom="1440" w:left="2275" w:header="72" w:footer="720" w:gutter="0"/>
          <w:pgNumType w:start="1"/>
          <w:cols w:space="720"/>
          <w:docGrid w:linePitch="360"/>
        </w:sectPr>
      </w:pPr>
    </w:p>
    <w:p w:rsidR="00AA04CE" w:rsidRPr="00677316" w:rsidRDefault="00AA04CE" w:rsidP="00AA04CE">
      <w:pPr>
        <w:pStyle w:val="HangingAnAct"/>
        <w:rPr>
          <w:rStyle w:val="HangingAnActChar"/>
        </w:rPr>
      </w:pPr>
      <w:r w:rsidRPr="00AA04CE">
        <w:rPr>
          <w:rStyle w:val="BillHead"/>
        </w:rPr>
        <w:lastRenderedPageBreak/>
        <w:t>An Act</w:t>
      </w:r>
      <w:r w:rsidRPr="006B7FA7">
        <w:rPr>
          <w:rStyle w:val="HangingAnActChar"/>
        </w:rPr>
        <w:t xml:space="preserve"> </w:t>
      </w:r>
      <w:r>
        <w:t>concerning dental insurance and supplementing P.</w:t>
      </w:r>
      <w:r w:rsidRPr="005432A5">
        <w:t>L.1997,</w:t>
      </w:r>
      <w:r>
        <w:t> </w:t>
      </w:r>
      <w:r w:rsidRPr="005432A5">
        <w:t>c.192</w:t>
      </w:r>
      <w:r>
        <w:t> (C.26:2S-1 et seq.).</w:t>
      </w:r>
    </w:p>
    <w:p w:rsidR="00AA04CE" w:rsidRPr="00D71D68" w:rsidRDefault="00AA04CE" w:rsidP="00AA04CE"/>
    <w:p w:rsidR="00AA04CE" w:rsidRPr="00AA7880" w:rsidRDefault="00AA04CE" w:rsidP="00AA04CE">
      <w:r>
        <w:tab/>
      </w:r>
      <w:r>
        <w:rPr>
          <w:rStyle w:val="BillHeading2"/>
        </w:rPr>
        <w:t xml:space="preserve">Be It Enacted </w:t>
      </w:r>
      <w:r>
        <w:rPr>
          <w:rStyle w:val="BillLanguage"/>
        </w:rPr>
        <w:t>by the Senate and General Assembly of the State of New Jersey:</w:t>
      </w:r>
    </w:p>
    <w:p w:rsidR="00AA04CE" w:rsidRDefault="00AA04CE" w:rsidP="00AA04CE"/>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1.</w:t>
      </w:r>
      <w:r w:rsidRPr="00747EE9">
        <w:rPr>
          <w:spacing w:val="0"/>
        </w:rPr>
        <w:tab/>
        <w:t xml:space="preserve">a.  A carrier shall not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preclude a participating dentist from billing a covered person for a covered service under a dental plan and collecting payment from the covered person for the covered service</w:t>
      </w:r>
      <w:r w:rsidRPr="00747EE9">
        <w:rPr>
          <w:rFonts w:ascii="Albertus Extra Bold" w:hAnsi="Albertus Extra Bold"/>
          <w:b/>
        </w:rPr>
        <w:t>]</w:t>
      </w:r>
      <w:r w:rsidRPr="00747EE9">
        <w:rPr>
          <w:spacing w:val="0"/>
        </w:rPr>
        <w:t xml:space="preserve"> </w:t>
      </w:r>
      <w:r w:rsidRPr="00747EE9">
        <w:rPr>
          <w:spacing w:val="0"/>
          <w:u w:val="single"/>
        </w:rPr>
        <w:t>include in an agreement between the carrier and a participating dentist a provision that prohibits a participating dentist from collecting an amount owed from a covered person for a covered procedure or service</w:t>
      </w:r>
      <w:r w:rsidRPr="00747EE9">
        <w:rPr>
          <w:rFonts w:ascii="Albertus Extra Bold" w:hAnsi="Albertus Extra Bold"/>
          <w:b/>
          <w:vertAlign w:val="superscript"/>
        </w:rPr>
        <w:t>2</w:t>
      </w:r>
      <w:r w:rsidRPr="00747EE9">
        <w:rPr>
          <w:spacing w:val="0"/>
        </w:rPr>
        <w:t xml:space="preserve"> if the participating dentist: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(1)</w:t>
      </w:r>
      <w:r w:rsidRPr="00747EE9">
        <w:rPr>
          <w:spacing w:val="0"/>
        </w:rPr>
        <w:tab/>
        <w:t xml:space="preserve">notifies the covered person prior to performing the </w:t>
      </w:r>
      <w:r w:rsidRPr="00747EE9">
        <w:rPr>
          <w:rFonts w:ascii="Albertus Extra Bold" w:hAnsi="Albertus Extra Bold"/>
          <w:b/>
          <w:vertAlign w:val="superscript"/>
        </w:rPr>
        <w:t>2</w:t>
      </w:r>
      <w:r w:rsidRPr="00747EE9">
        <w:rPr>
          <w:spacing w:val="0"/>
          <w:u w:val="single"/>
        </w:rPr>
        <w:t>covered procedure or</w:t>
      </w:r>
      <w:r w:rsidRPr="00747EE9">
        <w:rPr>
          <w:rFonts w:ascii="Albertus Extra Bold" w:hAnsi="Albertus Extra Bold"/>
          <w:b/>
          <w:vertAlign w:val="superscript"/>
        </w:rPr>
        <w:t>2</w:t>
      </w:r>
      <w:r w:rsidRPr="00747EE9">
        <w:rPr>
          <w:spacing w:val="0"/>
        </w:rPr>
        <w:t xml:space="preserve"> service that the dentist may not be paid by the carrier and that the covered person is responsible for payment of the covered </w:t>
      </w:r>
      <w:r w:rsidRPr="00747EE9">
        <w:rPr>
          <w:rFonts w:ascii="Albertus Extra Bold" w:hAnsi="Albertus Extra Bold"/>
          <w:b/>
          <w:vertAlign w:val="superscript"/>
        </w:rPr>
        <w:t>2</w:t>
      </w:r>
      <w:r w:rsidRPr="00747EE9">
        <w:rPr>
          <w:spacing w:val="0"/>
          <w:u w:val="single"/>
        </w:rPr>
        <w:t>procedure or</w:t>
      </w:r>
      <w:r w:rsidRPr="00747EE9">
        <w:rPr>
          <w:rFonts w:ascii="Albertus Extra Bold" w:hAnsi="Albertus Extra Bold"/>
          <w:b/>
          <w:vertAlign w:val="superscript"/>
        </w:rPr>
        <w:t>2</w:t>
      </w:r>
      <w:r w:rsidRPr="00747EE9">
        <w:rPr>
          <w:spacing w:val="0"/>
        </w:rPr>
        <w:t xml:space="preserve"> service;</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(2)</w:t>
      </w:r>
      <w:r w:rsidRPr="00747EE9">
        <w:rPr>
          <w:spacing w:val="0"/>
        </w:rPr>
        <w:tab/>
      </w:r>
      <w:r w:rsidRPr="00747EE9">
        <w:rPr>
          <w:spacing w:val="0"/>
          <w:shd w:val="clear" w:color="auto" w:fill="FFFFFF"/>
        </w:rPr>
        <w:t xml:space="preserve">provides the covered person an explanation, in writing, of the benefits and material cost differences of suitable alternative options for the </w:t>
      </w:r>
      <w:r w:rsidRPr="00747EE9">
        <w:rPr>
          <w:rFonts w:ascii="Albertus Extra Bold" w:hAnsi="Albertus Extra Bold"/>
          <w:b/>
          <w:shd w:val="clear" w:color="auto" w:fill="FFFFFF"/>
          <w:vertAlign w:val="superscript"/>
        </w:rPr>
        <w:t>2</w:t>
      </w:r>
      <w:r w:rsidRPr="00747EE9">
        <w:rPr>
          <w:spacing w:val="0"/>
          <w:u w:val="single"/>
        </w:rPr>
        <w:t>covered procedure or</w:t>
      </w:r>
      <w:r w:rsidRPr="00747EE9">
        <w:rPr>
          <w:rFonts w:ascii="Albertus Extra Bold" w:hAnsi="Albertus Extra Bold"/>
          <w:b/>
          <w:vertAlign w:val="superscript"/>
        </w:rPr>
        <w:t>2</w:t>
      </w:r>
      <w:r w:rsidRPr="00747EE9">
        <w:rPr>
          <w:spacing w:val="0"/>
          <w:shd w:val="clear" w:color="auto" w:fill="FFFFFF"/>
        </w:rPr>
        <w:t xml:space="preserve"> service, and that the alternative selected may not be covered by the plan, in advance of it being performed;</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(3)</w:t>
      </w:r>
      <w:r w:rsidRPr="00747EE9">
        <w:rPr>
          <w:spacing w:val="0"/>
        </w:rPr>
        <w:tab/>
        <w:t xml:space="preserve"> obtains the covered person’s consent, in writing, to the performance of the </w:t>
      </w:r>
      <w:r w:rsidRPr="00747EE9">
        <w:rPr>
          <w:rFonts w:ascii="Albertus Extra Bold" w:hAnsi="Albertus Extra Bold"/>
          <w:b/>
          <w:vertAlign w:val="superscript"/>
        </w:rPr>
        <w:t>2</w:t>
      </w:r>
      <w:r w:rsidRPr="00747EE9">
        <w:rPr>
          <w:spacing w:val="0"/>
          <w:u w:val="single"/>
        </w:rPr>
        <w:t>covered procedure or</w:t>
      </w:r>
      <w:r w:rsidRPr="00747EE9">
        <w:rPr>
          <w:rFonts w:ascii="Albertus Extra Bold" w:hAnsi="Albertus Extra Bold"/>
          <w:b/>
          <w:vertAlign w:val="superscript"/>
        </w:rPr>
        <w:t>2</w:t>
      </w:r>
      <w:r w:rsidRPr="00747EE9">
        <w:rPr>
          <w:spacing w:val="0"/>
        </w:rPr>
        <w:t xml:space="preserve"> service and the participating dentist makes the written consent available to the carrier upon request; and</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(4)</w:t>
      </w:r>
      <w:r w:rsidRPr="00747EE9">
        <w:rPr>
          <w:spacing w:val="0"/>
        </w:rPr>
        <w:tab/>
        <w:t xml:space="preserve">accepts as payment in full the amount the participating dentist would have accepted from the carrier under the covered person’s dental plan, including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bundled payments</w:t>
      </w:r>
      <w:r w:rsidRPr="00747EE9">
        <w:rPr>
          <w:rFonts w:ascii="Albertus Extra Bold" w:hAnsi="Albertus Extra Bold"/>
          <w:b/>
        </w:rPr>
        <w:t>]</w:t>
      </w:r>
      <w:r w:rsidRPr="00747EE9">
        <w:rPr>
          <w:spacing w:val="0"/>
        </w:rPr>
        <w:t xml:space="preserve"> </w:t>
      </w:r>
      <w:r w:rsidRPr="00747EE9">
        <w:rPr>
          <w:spacing w:val="0"/>
          <w:u w:val="single"/>
        </w:rPr>
        <w:t>bundling pursuant to this act</w:t>
      </w:r>
      <w:r w:rsidRPr="00747EE9">
        <w:rPr>
          <w:rFonts w:ascii="Albertus Extra Bold" w:hAnsi="Albertus Extra Bold"/>
          <w:b/>
          <w:vertAlign w:val="superscript"/>
        </w:rPr>
        <w:t>2</w:t>
      </w:r>
      <w:r w:rsidRPr="00747EE9">
        <w:rPr>
          <w:spacing w:val="0"/>
        </w:rPr>
        <w: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A participating dentist that receives payment for a covered </w:t>
      </w:r>
      <w:r w:rsidRPr="00747EE9">
        <w:rPr>
          <w:rFonts w:ascii="Albertus Extra Bold" w:hAnsi="Albertus Extra Bold"/>
          <w:b/>
          <w:vertAlign w:val="superscript"/>
        </w:rPr>
        <w:t>2</w:t>
      </w:r>
      <w:r w:rsidRPr="00747EE9">
        <w:rPr>
          <w:spacing w:val="0"/>
          <w:u w:val="single"/>
        </w:rPr>
        <w:t>procedure or</w:t>
      </w:r>
      <w:r w:rsidRPr="00747EE9">
        <w:rPr>
          <w:rFonts w:ascii="Albertus Extra Bold" w:hAnsi="Albertus Extra Bold"/>
          <w:b/>
          <w:vertAlign w:val="superscript"/>
        </w:rPr>
        <w:t>2</w:t>
      </w:r>
      <w:r w:rsidRPr="00747EE9">
        <w:rPr>
          <w:spacing w:val="0"/>
        </w:rPr>
        <w:t xml:space="preserve"> service from a covered person that exceeds the amount the participating dentist is obligated to accept under the covered person’s dental plan shall refund to the covered person the difference between the amount accepted by the participating dentist from the covered person and the amount the participating dentist is obligated to accept under the covered person’s dental plan. </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b.</w:t>
      </w:r>
      <w:r w:rsidRPr="00747EE9">
        <w:rPr>
          <w:spacing w:val="0"/>
        </w:rPr>
        <w:tab/>
        <w:t xml:space="preserve">Notwithstanding the provisions of subsection a. of this section, this act shall not apply in cases where the service performed by the participating dentist is required as a result of a prior service by the dentist that was inconsistent with </w:t>
      </w:r>
      <w:r w:rsidRPr="00747EE9">
        <w:rPr>
          <w:rFonts w:ascii="Albertus Extra Bold" w:hAnsi="Albertus Extra Bold"/>
          <w:b/>
          <w:vertAlign w:val="superscript"/>
        </w:rPr>
        <w:t>1</w:t>
      </w:r>
      <w:r w:rsidRPr="00747EE9">
        <w:rPr>
          <w:rFonts w:ascii="Albertus Extra Bold" w:hAnsi="Albertus Extra Bold"/>
          <w:b/>
        </w:rPr>
        <w:t>[</w:t>
      </w:r>
      <w:r w:rsidRPr="00747EE9">
        <w:rPr>
          <w:spacing w:val="0"/>
        </w:rPr>
        <w:t>the quality of care in the practice of dentistry</w:t>
      </w:r>
      <w:r w:rsidRPr="00747EE9">
        <w:rPr>
          <w:rFonts w:ascii="Albertus Extra Bold" w:hAnsi="Albertus Extra Bold"/>
          <w:b/>
        </w:rPr>
        <w:t>]</w:t>
      </w:r>
      <w:r w:rsidRPr="00747EE9">
        <w:rPr>
          <w:spacing w:val="0"/>
        </w:rPr>
        <w:t xml:space="preserve"> </w:t>
      </w:r>
      <w:r w:rsidRPr="00747EE9">
        <w:rPr>
          <w:rFonts w:ascii="Albertus Extra Bold" w:hAnsi="Albertus Extra Bold"/>
          <w:b/>
          <w:vertAlign w:val="superscript"/>
        </w:rPr>
        <w:t>2</w:t>
      </w:r>
      <w:r w:rsidRPr="00747EE9">
        <w:rPr>
          <w:rFonts w:ascii="Albertus Extra Bold" w:hAnsi="Albertus Extra Bold"/>
          <w:b/>
        </w:rPr>
        <w:t>[</w:t>
      </w:r>
      <w:r w:rsidRPr="00747EE9">
        <w:rPr>
          <w:spacing w:val="0"/>
          <w:u w:val="single"/>
        </w:rPr>
        <w:t>generally accepted practice standards</w:t>
      </w:r>
      <w:r w:rsidRPr="00747EE9">
        <w:rPr>
          <w:rFonts w:ascii="Albertus Extra Bold" w:hAnsi="Albertus Extra Bold"/>
          <w:b/>
          <w:vertAlign w:val="superscript"/>
        </w:rPr>
        <w:t>1</w:t>
      </w:r>
      <w:r w:rsidRPr="00747EE9">
        <w:rPr>
          <w:rFonts w:ascii="Albertus Extra Bold" w:hAnsi="Albertus Extra Bold"/>
          <w:b/>
        </w:rPr>
        <w:t>]</w:t>
      </w:r>
      <w:r w:rsidRPr="00747EE9">
        <w:rPr>
          <w:spacing w:val="0"/>
        </w:rPr>
        <w:t xml:space="preserve"> </w:t>
      </w:r>
      <w:r w:rsidRPr="00747EE9">
        <w:rPr>
          <w:spacing w:val="0"/>
          <w:u w:val="single"/>
        </w:rPr>
        <w:t xml:space="preserve">the quality of </w:t>
      </w:r>
      <w:r w:rsidRPr="00747EE9">
        <w:rPr>
          <w:spacing w:val="0"/>
          <w:u w:val="single"/>
        </w:rPr>
        <w:lastRenderedPageBreak/>
        <w:t>care in the practice of dentistry</w:t>
      </w:r>
      <w:r w:rsidRPr="00747EE9">
        <w:rPr>
          <w:rFonts w:ascii="Albertus Extra Bold" w:hAnsi="Albertus Extra Bold"/>
          <w:b/>
          <w:vertAlign w:val="superscript"/>
        </w:rPr>
        <w:t>2</w:t>
      </w:r>
      <w:r w:rsidRPr="00747EE9">
        <w:rPr>
          <w:spacing w:val="0"/>
        </w:rPr>
        <w:t xml:space="preserve"> as determined by a licensed dentist, and this act shall not permit billing covered persons for:</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(1)</w:t>
      </w:r>
      <w:r w:rsidRPr="00747EE9">
        <w:rPr>
          <w:spacing w:val="0"/>
        </w:rPr>
        <w:tab/>
        <w:t>equipment used by the participating dentist;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(2)</w:t>
      </w:r>
      <w:r w:rsidRPr="00747EE9">
        <w:rPr>
          <w:spacing w:val="0"/>
        </w:rPr>
        <w:tab/>
        <w:t xml:space="preserve">overhead expenses incurred by the participating dentist;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or</w:t>
      </w:r>
      <w:r w:rsidRPr="00747EE9">
        <w:rPr>
          <w:rFonts w:ascii="Albertus Extra Bold" w:hAnsi="Albertus Extra Bold"/>
          <w:b/>
        </w:rPr>
        <w:t>]</w:t>
      </w:r>
      <w:r w:rsidRPr="00747EE9">
        <w:rPr>
          <w:rFonts w:ascii="Albertus Extra Bold" w:hAnsi="Albertus Extra Bold"/>
          <w:b/>
          <w:vertAlign w:val="superscript"/>
        </w:rPr>
        <w:t>2</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7EE9">
        <w:rPr>
          <w:spacing w:val="0"/>
        </w:rPr>
        <w:tab/>
        <w:t>(3)</w:t>
      </w:r>
      <w:r w:rsidRPr="00747EE9">
        <w:rPr>
          <w:spacing w:val="0"/>
        </w:rPr>
        <w:tab/>
      </w:r>
      <w:r w:rsidRPr="00747EE9">
        <w:rPr>
          <w:rFonts w:ascii="Albertus Extra Bold" w:hAnsi="Albertus Extra Bold"/>
          <w:b/>
          <w:vertAlign w:val="superscript"/>
        </w:rPr>
        <w:t>2</w:t>
      </w:r>
      <w:r w:rsidRPr="00747EE9">
        <w:rPr>
          <w:spacing w:val="0"/>
          <w:u w:val="single"/>
        </w:rPr>
        <w:t>other costs of services or supplies rendered that are covered, or for which benefits are payable, under the covered person’s dental plan, except for copayment, coinsurance, or deductible amounts set forth in the dental plan; or</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r>
      <w:r w:rsidRPr="00747EE9">
        <w:rPr>
          <w:spacing w:val="0"/>
          <w:u w:val="single"/>
        </w:rPr>
        <w:t>(4)</w:t>
      </w:r>
      <w:r w:rsidRPr="00747EE9">
        <w:rPr>
          <w:rFonts w:ascii="Albertus Extra Bold" w:hAnsi="Albertus Extra Bold"/>
          <w:b/>
          <w:vertAlign w:val="superscript"/>
        </w:rPr>
        <w:t>2</w:t>
      </w:r>
      <w:r w:rsidRPr="00747EE9">
        <w:rPr>
          <w:spacing w:val="0"/>
        </w:rPr>
        <w:tab/>
        <w:t>laboratory costs or other services customarily associated with the performance of covered services unless:</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(a)</w:t>
      </w:r>
      <w:r w:rsidRPr="00747EE9">
        <w:rPr>
          <w:spacing w:val="0"/>
        </w:rPr>
        <w:tab/>
        <w:t>the participating dentist receives prior written consent from the covered person in advance of the performance of the service; and</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(b)</w:t>
      </w:r>
      <w:r w:rsidRPr="00747EE9">
        <w:rPr>
          <w:spacing w:val="0"/>
        </w:rPr>
        <w:tab/>
        <w:t>the participating dentist has explained, in writing, the benefits and material cost differences of suitable alternative options for the service, and that the alternative selected may not be covered by the plan, in advance of it being performed.</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c.</w:t>
      </w:r>
      <w:r w:rsidRPr="00747EE9">
        <w:rPr>
          <w:spacing w:val="0"/>
        </w:rPr>
        <w:tab/>
        <w:t xml:space="preserve">A carrier shall not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maintain a dental plan that: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(1)</w:t>
      </w:r>
      <w:r w:rsidRPr="00747EE9">
        <w:rPr>
          <w:spacing w:val="0"/>
        </w:rPr>
        <w:tab/>
        <w:t>based on the participating dentist’s contracted fee for covered services, uses down-coding in a manner that prevents a dental provider from collecting the fee for the actual service performed from either the dental plan or the patient; or</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7EE9">
        <w:rPr>
          <w:spacing w:val="0"/>
        </w:rPr>
        <w:tab/>
        <w:t>(2)</w:t>
      </w:r>
      <w:r w:rsidRPr="00747EE9">
        <w:rPr>
          <w:spacing w:val="0"/>
        </w:rPr>
        <w:tab/>
        <w:t xml:space="preserve">uses bundling of covered services in a manner where a procedure is labeled as </w:t>
      </w:r>
      <w:proofErr w:type="spellStart"/>
      <w:r w:rsidRPr="00747EE9">
        <w:rPr>
          <w:spacing w:val="0"/>
        </w:rPr>
        <w:t>nonbillable</w:t>
      </w:r>
      <w:proofErr w:type="spellEnd"/>
      <w:r w:rsidRPr="00747EE9">
        <w:rPr>
          <w:spacing w:val="0"/>
        </w:rPr>
        <w:t xml:space="preserve"> to the patient unless, </w:t>
      </w:r>
      <w:r w:rsidRPr="00747EE9">
        <w:rPr>
          <w:rFonts w:ascii="Albertus Extra Bold" w:hAnsi="Albertus Extra Bold"/>
          <w:b/>
          <w:vertAlign w:val="superscript"/>
        </w:rPr>
        <w:t>1</w:t>
      </w:r>
      <w:r w:rsidRPr="00747EE9">
        <w:rPr>
          <w:rFonts w:ascii="Albertus Extra Bold" w:hAnsi="Albertus Extra Bold"/>
          <w:b/>
        </w:rPr>
        <w:t>[</w:t>
      </w:r>
      <w:r w:rsidRPr="00747EE9">
        <w:rPr>
          <w:spacing w:val="0"/>
        </w:rPr>
        <w:t>consistent with quality of care in the practice of dentistry</w:t>
      </w:r>
      <w:r w:rsidRPr="00747EE9">
        <w:rPr>
          <w:rFonts w:ascii="Albertus Extra Bold" w:hAnsi="Albertus Extra Bold"/>
          <w:b/>
        </w:rPr>
        <w:t>]</w:t>
      </w:r>
      <w:r w:rsidRPr="00747EE9">
        <w:rPr>
          <w:spacing w:val="0"/>
        </w:rPr>
        <w:t xml:space="preserve"> </w:t>
      </w:r>
      <w:r w:rsidRPr="00747EE9">
        <w:rPr>
          <w:spacing w:val="0"/>
          <w:u w:val="single"/>
        </w:rPr>
        <w:t>under generally accepted practice standards</w:t>
      </w:r>
      <w:r w:rsidRPr="00747EE9">
        <w:rPr>
          <w:rFonts w:ascii="Albertus Extra Bold" w:hAnsi="Albertus Extra Bold"/>
          <w:b/>
          <w:vertAlign w:val="superscript"/>
        </w:rPr>
        <w:t>1</w:t>
      </w:r>
      <w:r w:rsidRPr="00747EE9">
        <w:rPr>
          <w:spacing w:val="0"/>
        </w:rPr>
        <w:t>, the procedure may be provided in conjunction with another procedure.</w:t>
      </w:r>
      <w:r w:rsidRPr="00747EE9">
        <w:rPr>
          <w:rFonts w:ascii="Albertus Extra Bold" w:hAnsi="Albertus Extra Bold"/>
          <w:b/>
        </w:rPr>
        <w:t>]</w:t>
      </w:r>
      <w:r w:rsidRPr="00747EE9">
        <w:rPr>
          <w:spacing w:val="0"/>
        </w:rPr>
        <w:t xml:space="preserve"> </w:t>
      </w:r>
      <w:r w:rsidRPr="00747EE9">
        <w:rPr>
          <w:spacing w:val="0"/>
          <w:u w:val="single"/>
        </w:rPr>
        <w:t>change a dentist’s submitted procedure codes through down-coding or bundling unless the carrier undertakes a professional review of the submitted charges and supporting clinical information and determines that the original coding was incorrect, fragmented, or un-bundled as:</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7EE9">
        <w:rPr>
          <w:spacing w:val="0"/>
        </w:rPr>
        <w:tab/>
      </w:r>
      <w:r w:rsidRPr="00747EE9">
        <w:rPr>
          <w:spacing w:val="0"/>
          <w:u w:val="single"/>
        </w:rPr>
        <w:t>(1)</w:t>
      </w:r>
      <w:r w:rsidRPr="00747EE9">
        <w:rPr>
          <w:spacing w:val="0"/>
          <w:u w:val="single"/>
        </w:rPr>
        <w:tab/>
        <w:t>provided for in the Current Dental Terminology Code of Dental Procedures and Nomenclature; or</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7EE9">
        <w:rPr>
          <w:spacing w:val="0"/>
        </w:rPr>
        <w:tab/>
      </w:r>
      <w:r w:rsidRPr="00747EE9">
        <w:rPr>
          <w:spacing w:val="0"/>
          <w:u w:val="single"/>
        </w:rPr>
        <w:t>(2)</w:t>
      </w:r>
      <w:r w:rsidRPr="00747EE9">
        <w:rPr>
          <w:spacing w:val="0"/>
          <w:u w:val="single"/>
        </w:rPr>
        <w:tab/>
        <w:t>consistent with the generally acceptable standards of care in the practice of dentistry.</w:t>
      </w:r>
      <w:r w:rsidRPr="00747EE9">
        <w:rPr>
          <w:rFonts w:ascii="Albertus Extra Bold" w:hAnsi="Albertus Extra Bold"/>
          <w:b/>
          <w:vertAlign w:val="superscript"/>
        </w:rPr>
        <w:t>2</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d.</w:t>
      </w:r>
      <w:r w:rsidRPr="00747EE9">
        <w:rPr>
          <w:spacing w:val="0"/>
        </w:rPr>
        <w:tab/>
      </w:r>
      <w:r w:rsidRPr="00747EE9">
        <w:rPr>
          <w:rFonts w:ascii="Albertus Extra Bold" w:hAnsi="Albertus Extra Bold"/>
          <w:b/>
          <w:vertAlign w:val="superscript"/>
        </w:rPr>
        <w:t>2</w:t>
      </w:r>
      <w:r w:rsidRPr="00747EE9">
        <w:rPr>
          <w:spacing w:val="0"/>
          <w:u w:val="single"/>
        </w:rPr>
        <w:t>Notwithstanding any other provision of this act or any other law to the contrary, a carrier may base its benefit reimbursement on a lower acceptable cost procedure, material, or test where an alternative, and less costly, means is available and generally accepted for purposes of benefit payment, and based on the participation agreement between the carrier and the participating dentist.  However, nothing in this act shall preclude a carrier from covering procedures or services that are actually performed by a participating dentist, per its network provider agreement, and are otherwise eligible for benefit.</w:t>
      </w:r>
    </w:p>
    <w:p w:rsid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r>
      <w:r w:rsidRPr="00747EE9">
        <w:rPr>
          <w:spacing w:val="0"/>
          <w:u w:val="single"/>
        </w:rPr>
        <w:t>e.</w:t>
      </w:r>
      <w:r w:rsidRPr="00747EE9">
        <w:rPr>
          <w:rFonts w:ascii="Albertus Extra Bold" w:hAnsi="Albertus Extra Bold"/>
          <w:b/>
          <w:vertAlign w:val="superscript"/>
        </w:rPr>
        <w:t>2</w:t>
      </w:r>
      <w:r w:rsidRPr="00747EE9">
        <w:rPr>
          <w:b/>
        </w:rPr>
        <w:tab/>
      </w:r>
      <w:r w:rsidRPr="00747EE9">
        <w:rPr>
          <w:spacing w:val="0"/>
        </w:rPr>
        <w:t>Nothing in this act shall exempt or limit any dentist from the provisions of the “Insurance Fraud Prevention Act,” P.L.1983, c.320 (C.17:33A-1 et seq.).</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e.</w:t>
      </w:r>
      <w:r w:rsidRPr="00747EE9">
        <w:rPr>
          <w:rFonts w:ascii="Albertus Extra Bold" w:hAnsi="Albertus Extra Bold"/>
          <w:b/>
        </w:rPr>
        <w:t>]</w:t>
      </w:r>
      <w:r w:rsidRPr="00747EE9">
        <w:rPr>
          <w:spacing w:val="0"/>
        </w:rPr>
        <w:t xml:space="preserve"> </w:t>
      </w:r>
      <w:r w:rsidRPr="00747EE9">
        <w:rPr>
          <w:spacing w:val="0"/>
          <w:u w:val="single"/>
        </w:rPr>
        <w:t>f.</w:t>
      </w:r>
      <w:r w:rsidRPr="00747EE9">
        <w:rPr>
          <w:rFonts w:ascii="Albertus Extra Bold" w:hAnsi="Albertus Extra Bold"/>
          <w:b/>
          <w:vertAlign w:val="superscript"/>
        </w:rPr>
        <w:t>2</w:t>
      </w:r>
      <w:r w:rsidRPr="00747EE9">
        <w:rPr>
          <w:spacing w:val="0"/>
        </w:rPr>
        <w:tab/>
        <w:t>As used in this act: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lastRenderedPageBreak/>
        <w:tab/>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"Bundled Payments"</w:t>
      </w:r>
      <w:r w:rsidRPr="00747EE9">
        <w:rPr>
          <w:rFonts w:ascii="Albertus Extra Bold" w:hAnsi="Albertus Extra Bold"/>
          <w:b/>
        </w:rPr>
        <w:t>]</w:t>
      </w:r>
      <w:r w:rsidRPr="00747EE9">
        <w:rPr>
          <w:spacing w:val="0"/>
        </w:rPr>
        <w:t xml:space="preserve"> </w:t>
      </w:r>
      <w:r w:rsidRPr="00747EE9">
        <w:rPr>
          <w:spacing w:val="0"/>
          <w:u w:val="single"/>
        </w:rPr>
        <w:t>“Bundling”</w:t>
      </w:r>
      <w:r w:rsidRPr="00747EE9">
        <w:rPr>
          <w:rFonts w:ascii="Albertus Extra Bold" w:hAnsi="Albertus Extra Bold"/>
          <w:b/>
          <w:vertAlign w:val="superscript"/>
        </w:rPr>
        <w:t>2</w:t>
      </w:r>
      <w:r w:rsidRPr="00747EE9">
        <w:rPr>
          <w:spacing w:val="0"/>
        </w:rPr>
        <w:t xml:space="preserve"> means the practice of combining distinct dental procedures or components of a more extensive procedure into one procedure for billing purposes</w:t>
      </w:r>
      <w:r w:rsidRPr="00747EE9">
        <w:rPr>
          <w:rFonts w:ascii="Albertus Extra Bold" w:hAnsi="Albertus Extra Bold"/>
          <w:b/>
          <w:vertAlign w:val="superscript"/>
        </w:rPr>
        <w:t>2</w:t>
      </w:r>
      <w:r w:rsidRPr="00747EE9">
        <w:rPr>
          <w:spacing w:val="0"/>
          <w:u w:val="single"/>
        </w:rPr>
        <w:t>, but does not include the denial or adjustment of claims for covered services in accordance with the covered person’s dental plan</w:t>
      </w:r>
      <w:r w:rsidRPr="00747EE9">
        <w:rPr>
          <w:rFonts w:ascii="Albertus Extra Bold" w:hAnsi="Albertus Extra Bold"/>
          <w:b/>
          <w:vertAlign w:val="superscript"/>
        </w:rPr>
        <w:t>2</w:t>
      </w:r>
      <w:r w:rsidRPr="00747EE9">
        <w:rPr>
          <w:spacing w:val="0"/>
        </w:rPr>
        <w: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“Carrier” means an insurance company, health service corporation, hospital service corporation, medical service corporation, dental service corporation, dental plan organization or health maintenance organization authorized to issue dental contracts, policies, or plans in this State.</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“Covered person” means a person on whose behalf a carrier offering a dental plan is obligated to pay benefits for or provide dental procedures or services pursuant to the plan.  </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“Covered procedure or service” means a dental care procedure or service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for which a reimbursement is available</w:t>
      </w:r>
      <w:r w:rsidRPr="00747EE9">
        <w:rPr>
          <w:rFonts w:ascii="Albertus Extra Bold" w:hAnsi="Albertus Extra Bold"/>
          <w:b/>
        </w:rPr>
        <w:t>]</w:t>
      </w:r>
      <w:r w:rsidRPr="00747EE9">
        <w:rPr>
          <w:spacing w:val="0"/>
        </w:rPr>
        <w:t xml:space="preserve"> </w:t>
      </w:r>
      <w:r w:rsidRPr="00747EE9">
        <w:rPr>
          <w:spacing w:val="0"/>
          <w:u w:val="single"/>
        </w:rPr>
        <w:t>that is consistent with generally acceptable standards of care in the practice of dentistry, and which the carrier has determined to be reimbursable</w:t>
      </w:r>
      <w:r w:rsidRPr="00747EE9">
        <w:rPr>
          <w:rFonts w:ascii="Albertus Extra Bold" w:hAnsi="Albertus Extra Bold"/>
          <w:b/>
          <w:vertAlign w:val="superscript"/>
        </w:rPr>
        <w:t>2</w:t>
      </w:r>
      <w:r w:rsidRPr="00747EE9">
        <w:rPr>
          <w:spacing w:val="0"/>
        </w:rPr>
        <w:t xml:space="preserve"> under a covered person’s dental plan, or for which a reimbursement would be available but for the application of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contractual limitations including, but not limited to,</w:t>
      </w:r>
      <w:r w:rsidRPr="00747EE9">
        <w:rPr>
          <w:rFonts w:ascii="Albertus Extra Bold" w:hAnsi="Albertus Extra Bold"/>
          <w:b/>
        </w:rPr>
        <w:t>]</w:t>
      </w:r>
      <w:r w:rsidRPr="00747EE9">
        <w:rPr>
          <w:rFonts w:ascii="Albertus Extra Bold" w:hAnsi="Albertus Extra Bold"/>
          <w:b/>
          <w:vertAlign w:val="superscript"/>
        </w:rPr>
        <w:t>2</w:t>
      </w:r>
      <w:r w:rsidRPr="00747EE9">
        <w:rPr>
          <w:spacing w:val="0"/>
        </w:rPr>
        <w:t xml:space="preserve"> deductibles, copayments, coinsurance, waiting periods, annual or lifetime maximums, frequency limitations, </w:t>
      </w:r>
      <w:r w:rsidRPr="00747EE9">
        <w:rPr>
          <w:rFonts w:ascii="Albertus Extra Bold" w:hAnsi="Albertus Extra Bold"/>
          <w:b/>
          <w:vertAlign w:val="superscript"/>
        </w:rPr>
        <w:t>2</w:t>
      </w:r>
      <w:r w:rsidRPr="00747EE9">
        <w:rPr>
          <w:spacing w:val="0"/>
          <w:u w:val="single"/>
        </w:rPr>
        <w:t>or</w:t>
      </w:r>
      <w:r w:rsidRPr="00747EE9">
        <w:rPr>
          <w:rFonts w:ascii="Albertus Extra Bold" w:hAnsi="Albertus Extra Bold"/>
          <w:b/>
          <w:vertAlign w:val="superscript"/>
        </w:rPr>
        <w:t>2</w:t>
      </w:r>
      <w:r w:rsidRPr="00747EE9">
        <w:rPr>
          <w:spacing w:val="0"/>
        </w:rPr>
        <w:t xml:space="preserve"> alternative benefit payments</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 or any other limitation, or services not reimbursable by the carrier due a provision in the dental plan</w:t>
      </w:r>
      <w:r w:rsidRPr="00747EE9">
        <w:rPr>
          <w:rFonts w:ascii="Albertus Extra Bold" w:hAnsi="Albertus Extra Bold"/>
          <w:b/>
        </w:rPr>
        <w:t>]</w:t>
      </w:r>
      <w:r w:rsidRPr="00747EE9">
        <w:rPr>
          <w:rFonts w:ascii="Albertus Extra Bold" w:hAnsi="Albertus Extra Bold"/>
          <w:b/>
          <w:vertAlign w:val="superscript"/>
        </w:rPr>
        <w:t>2</w:t>
      </w:r>
      <w:r w:rsidRPr="00747EE9">
        <w:rPr>
          <w:spacing w:val="0"/>
        </w:rPr>
        <w:t xml:space="preserve">. </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“Dental plan” means a benefits plan, policy, or contract which pays or provides dental expense benefits for covered procedures or services and is delivered or issued for delivery in this State by or through a carrier either on a stand-alone basis or as part of other coverage including, but not limited to, health benefits coverage.  </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Dental plan shall not include the following plans, policies, or contracts: accident only, credit disability, long-term care, Medicare supplement coverage; TRICARE supplement coverage, coverage for Medicare services pursuant to a contract with the United States government, the State Medicaid program established pursuant to P.L.1968, c.413 (C.30:4D-1 et seq.), the NJ </w:t>
      </w:r>
      <w:proofErr w:type="spellStart"/>
      <w:r w:rsidRPr="00747EE9">
        <w:rPr>
          <w:spacing w:val="0"/>
        </w:rPr>
        <w:t>FamilyCare</w:t>
      </w:r>
      <w:proofErr w:type="spellEnd"/>
      <w:r w:rsidRPr="00747EE9">
        <w:rPr>
          <w:spacing w:val="0"/>
        </w:rPr>
        <w:t xml:space="preserve"> Program established pursuant to P.L.2005, c.156 (C.30:4J-8 et al.), coverage arising out of a worker's compensation or similar law, the State Health Benefits Program, the School Employees' Health Benefits Program, or a self-insured health benefits plan governed by the provisions of the federal "Employee Retirement Income Security Act of 1974," 29 U.S.C. s.1001 et seq., coverage under a policy of private passenger automobile insurance issued pursuant to P.L.1972, c.70 (C.39:6A-1 et seq.), or hospital confinement indemnity coverage.</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“Down-coding” means the adjustment of a claim submitted to a dental plan to a less complex or lower cost procedure code.  Down-coding does not include a carrier’s adjustment of payment for procedures which were improperly or inaccurately billed </w:t>
      </w:r>
      <w:r w:rsidRPr="00747EE9">
        <w:rPr>
          <w:rFonts w:ascii="Albertus Extra Bold" w:hAnsi="Albertus Extra Bold"/>
          <w:b/>
          <w:vertAlign w:val="superscript"/>
        </w:rPr>
        <w:t>2</w:t>
      </w:r>
      <w:r w:rsidRPr="00747EE9">
        <w:rPr>
          <w:spacing w:val="0"/>
          <w:u w:val="single"/>
        </w:rPr>
        <w:t xml:space="preserve">,  or the </w:t>
      </w:r>
      <w:r w:rsidRPr="00747EE9">
        <w:rPr>
          <w:spacing w:val="0"/>
          <w:u w:val="single"/>
        </w:rPr>
        <w:lastRenderedPageBreak/>
        <w:t>denial or adjustment of claims for covered services in accordance with the covered person’s dental plan</w:t>
      </w:r>
      <w:r w:rsidRPr="00747EE9">
        <w:rPr>
          <w:rFonts w:ascii="Albertus Extra Bold" w:hAnsi="Albertus Extra Bold"/>
          <w:b/>
          <w:vertAlign w:val="superscript"/>
        </w:rPr>
        <w:t>2</w:t>
      </w:r>
      <w:r w:rsidRPr="00747EE9">
        <w:rPr>
          <w:spacing w:val="0"/>
        </w:rPr>
        <w: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“Participating dentist” means a dentist who has entered into a contract with a carrier to provide dental services to covered persons for a predetermined fee or set of fees.</w:t>
      </w:r>
    </w:p>
    <w:p w:rsidR="00AA04CE" w:rsidRDefault="00AA04CE" w:rsidP="00AA04CE"/>
    <w:p w:rsidR="00AA04CE" w:rsidRPr="00E7752C" w:rsidRDefault="00AA04CE" w:rsidP="00722172">
      <w:r>
        <w:tab/>
        <w:t>2.</w:t>
      </w:r>
      <w:r>
        <w:tab/>
        <w:t xml:space="preserve">This act shall take effect on the 90th day next following enactment, and shall apply to dental contracts or plans issued or renewed after the effective date. </w:t>
      </w:r>
    </w:p>
    <w:sectPr w:rsidR="00AA04CE" w:rsidRPr="00E7752C" w:rsidSect="00AD6A7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BF" w:rsidRDefault="003E26BF">
      <w:r>
        <w:separator/>
      </w:r>
    </w:p>
  </w:endnote>
  <w:endnote w:type="continuationSeparator" w:id="0">
    <w:p w:rsidR="003E26BF" w:rsidRDefault="003E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3C" w:rsidRDefault="00B55093" w:rsidP="00B55093">
    <w:pPr>
      <w:pStyle w:val="sponUdate"/>
    </w:pPr>
    <w:r>
      <w:t>(Sponsorship Updated As Of: 12/21/2023)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72" w:rsidRPr="00921C91" w:rsidRDefault="0072217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22172" w:rsidRPr="00921C91" w:rsidRDefault="00722172">
    <w:pPr>
      <w:pStyle w:val="Footer"/>
      <w:rPr>
        <w:szCs w:val="18"/>
      </w:rPr>
    </w:pPr>
  </w:p>
  <w:p w:rsidR="00722172" w:rsidRPr="00921C91" w:rsidRDefault="0072217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22172" w:rsidRDefault="00722172">
    <w:pPr>
      <w:pStyle w:val="Footer"/>
    </w:pPr>
    <w:r>
      <w:tab/>
      <w:t>Matter enclosed in superscript numerals has been adopted as follows:</w:t>
    </w:r>
  </w:p>
  <w:p w:rsidR="00722172" w:rsidRDefault="00722172">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SCM committee amendments adopted June 9, 2022.</w:t>
    </w:r>
  </w:p>
  <w:p w:rsidR="00722172" w:rsidRDefault="00747EE9">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AFI committee amendments adopted December 11, 2023.</w:t>
    </w:r>
  </w:p>
  <w:p w:rsidR="00747EE9" w:rsidRPr="00747EE9" w:rsidRDefault="00747EE9">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BF" w:rsidRDefault="003E26BF">
      <w:r>
        <w:separator/>
      </w:r>
    </w:p>
  </w:footnote>
  <w:footnote w:type="continuationSeparator" w:id="0">
    <w:p w:rsidR="003E26BF" w:rsidRDefault="003E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334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D6A77" w:rsidRDefault="00AD6A77" w:rsidP="00AD6A77">
    <w:pPr>
      <w:pStyle w:val="bpuHeadSpon"/>
    </w:pPr>
    <w:r w:rsidRPr="00AD6A77">
      <w:rPr>
        <w:rStyle w:val="bpuHeadSponChar"/>
      </w:rPr>
      <w:t>S765</w:t>
    </w:r>
    <w:r>
      <w:t xml:space="preserve"> </w:t>
    </w:r>
    <w:r w:rsidR="00747EE9">
      <w:t>[2R]</w:t>
    </w:r>
    <w:r w:rsidR="00722172">
      <w:t xml:space="preserve"> </w:t>
    </w:r>
    <w:r>
      <w:t>POU, PENNACCHIO</w:t>
    </w:r>
  </w:p>
  <w:p w:rsidR="00AD6A77" w:rsidRDefault="00AD6A77" w:rsidP="00AD6A77">
    <w:pPr>
      <w:pStyle w:val="bpuHeadSpon"/>
    </w:pPr>
    <w:r>
      <w:fldChar w:fldCharType="begin"/>
    </w:r>
    <w:r>
      <w:instrText xml:space="preserve"> PAGE  \* MERGEFORMAT </w:instrText>
    </w:r>
    <w:r>
      <w:fldChar w:fldCharType="separate"/>
    </w:r>
    <w:r w:rsidR="00933404">
      <w:rPr>
        <w:noProof/>
      </w:rPr>
      <w:t>5</w:t>
    </w:r>
    <w:r>
      <w:fldChar w:fldCharType="end"/>
    </w:r>
  </w:p>
  <w:p w:rsidR="00AD6A77" w:rsidRPr="00AF575C" w:rsidRDefault="00AD6A77" w:rsidP="00AD6A7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AD6A77" w:rsidRDefault="00AD6A77" w:rsidP="00AD6A77">
    <w:pPr>
      <w:pStyle w:val="bpuHeadSpon"/>
    </w:pPr>
    <w:r w:rsidRPr="00AD6A77">
      <w:rPr>
        <w:rStyle w:val="bpuHeadSponChar"/>
      </w:rPr>
      <w:t>S765</w:t>
    </w:r>
    <w:r>
      <w:t xml:space="preserve"> </w:t>
    </w:r>
    <w:r w:rsidR="00747EE9">
      <w:t>[2R]</w:t>
    </w:r>
    <w:r w:rsidR="00722172">
      <w:t xml:space="preserve"> </w:t>
    </w:r>
    <w:r>
      <w:t>POU, PENNACCHIO</w:t>
    </w:r>
  </w:p>
  <w:p w:rsidR="00AD6A77" w:rsidRDefault="00AD6A77" w:rsidP="00AD6A77">
    <w:pPr>
      <w:pStyle w:val="bpuHeadSpon"/>
    </w:pPr>
    <w:r>
      <w:fldChar w:fldCharType="begin"/>
    </w:r>
    <w:r>
      <w:instrText xml:space="preserve"> PAGE  \* MERGEFORMAT </w:instrText>
    </w:r>
    <w:r>
      <w:fldChar w:fldCharType="separate"/>
    </w:r>
    <w:r w:rsidR="00933404">
      <w:rPr>
        <w:noProof/>
      </w:rPr>
      <w:t>2</w:t>
    </w:r>
    <w:r>
      <w:fldChar w:fldCharType="end"/>
    </w:r>
  </w:p>
  <w:p w:rsidR="00AD6A77" w:rsidRDefault="00AD6A77" w:rsidP="00AD6A7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BF"/>
    <w:rsid w:val="00000169"/>
    <w:rsid w:val="00004D4D"/>
    <w:rsid w:val="00007B70"/>
    <w:rsid w:val="00007DDD"/>
    <w:rsid w:val="00010512"/>
    <w:rsid w:val="00011BAB"/>
    <w:rsid w:val="000154F3"/>
    <w:rsid w:val="00017869"/>
    <w:rsid w:val="000203E7"/>
    <w:rsid w:val="00020E5B"/>
    <w:rsid w:val="000219C8"/>
    <w:rsid w:val="00030BB1"/>
    <w:rsid w:val="0003188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6B48"/>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2E5956"/>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26BF"/>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1D03"/>
    <w:rsid w:val="004B5C78"/>
    <w:rsid w:val="004B667A"/>
    <w:rsid w:val="004B6E61"/>
    <w:rsid w:val="004B75D5"/>
    <w:rsid w:val="004C0EE5"/>
    <w:rsid w:val="004C1B1C"/>
    <w:rsid w:val="004C2B44"/>
    <w:rsid w:val="004D1B2E"/>
    <w:rsid w:val="004D76F0"/>
    <w:rsid w:val="004F18AF"/>
    <w:rsid w:val="00501B0F"/>
    <w:rsid w:val="00504069"/>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6744"/>
    <w:rsid w:val="006572E9"/>
    <w:rsid w:val="00660602"/>
    <w:rsid w:val="006612A0"/>
    <w:rsid w:val="00667A05"/>
    <w:rsid w:val="00671CE6"/>
    <w:rsid w:val="006808C6"/>
    <w:rsid w:val="00680D5F"/>
    <w:rsid w:val="00686754"/>
    <w:rsid w:val="006878F9"/>
    <w:rsid w:val="006949ED"/>
    <w:rsid w:val="0069522C"/>
    <w:rsid w:val="00695BC5"/>
    <w:rsid w:val="006A3786"/>
    <w:rsid w:val="006B2FCF"/>
    <w:rsid w:val="006C3B76"/>
    <w:rsid w:val="006C4542"/>
    <w:rsid w:val="006D65B4"/>
    <w:rsid w:val="006E36B4"/>
    <w:rsid w:val="006F4C44"/>
    <w:rsid w:val="006F652B"/>
    <w:rsid w:val="0070018A"/>
    <w:rsid w:val="00712CBE"/>
    <w:rsid w:val="00722172"/>
    <w:rsid w:val="00730582"/>
    <w:rsid w:val="00741A09"/>
    <w:rsid w:val="00747EE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96069"/>
    <w:rsid w:val="008A08FC"/>
    <w:rsid w:val="008B313B"/>
    <w:rsid w:val="008B4545"/>
    <w:rsid w:val="008B6E84"/>
    <w:rsid w:val="008C6FA9"/>
    <w:rsid w:val="008D35C6"/>
    <w:rsid w:val="008D455C"/>
    <w:rsid w:val="008D62DB"/>
    <w:rsid w:val="008E3B9B"/>
    <w:rsid w:val="008E4F67"/>
    <w:rsid w:val="008F6A7A"/>
    <w:rsid w:val="00902B2D"/>
    <w:rsid w:val="00915B98"/>
    <w:rsid w:val="00933404"/>
    <w:rsid w:val="00933C9C"/>
    <w:rsid w:val="0094377E"/>
    <w:rsid w:val="009467BF"/>
    <w:rsid w:val="0094723D"/>
    <w:rsid w:val="009564BC"/>
    <w:rsid w:val="0095650E"/>
    <w:rsid w:val="00966445"/>
    <w:rsid w:val="00967716"/>
    <w:rsid w:val="00967FED"/>
    <w:rsid w:val="00980A56"/>
    <w:rsid w:val="00986E4C"/>
    <w:rsid w:val="009937ED"/>
    <w:rsid w:val="00993BCE"/>
    <w:rsid w:val="00993FA3"/>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085B"/>
    <w:rsid w:val="00A224BB"/>
    <w:rsid w:val="00A22502"/>
    <w:rsid w:val="00A34A5F"/>
    <w:rsid w:val="00A40A31"/>
    <w:rsid w:val="00A469CC"/>
    <w:rsid w:val="00A55E7F"/>
    <w:rsid w:val="00A63229"/>
    <w:rsid w:val="00A64CED"/>
    <w:rsid w:val="00A7050B"/>
    <w:rsid w:val="00A721B4"/>
    <w:rsid w:val="00A72513"/>
    <w:rsid w:val="00A951F4"/>
    <w:rsid w:val="00A95220"/>
    <w:rsid w:val="00AA04CE"/>
    <w:rsid w:val="00AA2A56"/>
    <w:rsid w:val="00AA3B15"/>
    <w:rsid w:val="00AA6194"/>
    <w:rsid w:val="00AA64D0"/>
    <w:rsid w:val="00AB4C5C"/>
    <w:rsid w:val="00AC4B4B"/>
    <w:rsid w:val="00AC5D61"/>
    <w:rsid w:val="00AD6A77"/>
    <w:rsid w:val="00AD7C41"/>
    <w:rsid w:val="00AE1E57"/>
    <w:rsid w:val="00AF0C23"/>
    <w:rsid w:val="00AF6ECE"/>
    <w:rsid w:val="00B00B00"/>
    <w:rsid w:val="00B034C1"/>
    <w:rsid w:val="00B0560C"/>
    <w:rsid w:val="00B07DA6"/>
    <w:rsid w:val="00B106BF"/>
    <w:rsid w:val="00B10DA7"/>
    <w:rsid w:val="00B11520"/>
    <w:rsid w:val="00B14011"/>
    <w:rsid w:val="00B14D35"/>
    <w:rsid w:val="00B211F7"/>
    <w:rsid w:val="00B21C53"/>
    <w:rsid w:val="00B23EFE"/>
    <w:rsid w:val="00B24336"/>
    <w:rsid w:val="00B3656D"/>
    <w:rsid w:val="00B55093"/>
    <w:rsid w:val="00B7201D"/>
    <w:rsid w:val="00B7653C"/>
    <w:rsid w:val="00B809B3"/>
    <w:rsid w:val="00B80AFD"/>
    <w:rsid w:val="00B81182"/>
    <w:rsid w:val="00B85467"/>
    <w:rsid w:val="00B854DC"/>
    <w:rsid w:val="00B85D78"/>
    <w:rsid w:val="00B90F81"/>
    <w:rsid w:val="00B91BF9"/>
    <w:rsid w:val="00BB2482"/>
    <w:rsid w:val="00BC4545"/>
    <w:rsid w:val="00BD6F87"/>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E28E1"/>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E006D"/>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4194"/>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0B318CC-7D54-4CC1-A36B-F2F6A3C2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AD6A77"/>
  </w:style>
  <w:style w:type="paragraph" w:styleId="BalloonText">
    <w:name w:val="Balloon Text"/>
    <w:basedOn w:val="Normal"/>
    <w:link w:val="BalloonTextChar"/>
    <w:semiHidden/>
    <w:unhideWhenUsed/>
    <w:rsid w:val="00B85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5D78"/>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997C-DF4C-4D4E-8795-00E0675A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5</Pages>
  <Words>1413</Words>
  <Characters>7909</Characters>
  <Application>Microsoft Office Word</Application>
  <DocSecurity>0</DocSecurity>
  <Lines>180</Lines>
  <Paragraphs>54</Paragraphs>
  <ScaleCrop>false</ScaleCrop>
  <HeadingPairs>
    <vt:vector size="2" baseType="variant">
      <vt:variant>
        <vt:lpstr>Title</vt:lpstr>
      </vt:variant>
      <vt:variant>
        <vt:i4>1</vt:i4>
      </vt:variant>
    </vt:vector>
  </HeadingPairs>
  <TitlesOfParts>
    <vt:vector size="1" baseType="lpstr">
      <vt:lpstr>S765 1R</vt:lpstr>
    </vt:vector>
  </TitlesOfParts>
  <Manager>R234</Manager>
  <Company>OFFICE of LEGISLATIVE SERVICES</Company>
  <LinksUpToDate>false</LinksUpToDate>
  <CharactersWithSpaces>9324</CharactersWithSpaces>
  <SharedDoc>false</SharedDoc>
  <HyperlinkBase>AFI 12/11/23 2R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S765 2R</dc:title>
  <dc:creator>Assembly AFI</dc:creator>
  <cp:keywords>S765|5|CL |318|314|307|!||</cp:keywords>
  <dc:description>PREFILED 2022_x000d_
T/R 6/9/22_x000d_
Amended 6/9/22_x000d_
AMENDED 12/11/2023</dc:description>
  <cp:lastModifiedBy>Brabson, Dawn</cp:lastModifiedBy>
  <cp:revision>2</cp:revision>
  <cp:lastPrinted>2023-12-22T16:46:00Z</cp:lastPrinted>
  <dcterms:created xsi:type="dcterms:W3CDTF">2023-12-22T16:46:00Z</dcterms:created>
  <dcterms:modified xsi:type="dcterms:W3CDTF">2023-12-22T16:46:00Z</dcterms:modified>
  <cp:category>s.1: C.26:25-33.1 to 2022/16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