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E9" w:rsidRDefault="000B06E9" w:rsidP="000B06E9">
      <w:pPr>
        <w:pStyle w:val="bpuReprint"/>
      </w:pPr>
      <w:bookmarkStart w:id="0" w:name="bpuFrontPg"/>
      <w:bookmarkEnd w:id="0"/>
      <w:r>
        <w:t>[First Reprint]</w:t>
      </w:r>
    </w:p>
    <w:p w:rsidR="000B06E9" w:rsidRPr="000B06E9" w:rsidRDefault="000B06E9" w:rsidP="000B06E9"/>
    <w:p w:rsidR="00BE5FED" w:rsidRDefault="00BE5FED" w:rsidP="00BE5FED">
      <w:pPr>
        <w:pStyle w:val="bpuComLine"/>
      </w:pPr>
      <w:r>
        <w:t>SENATE COMMITTEE SUBSTITUTE FOR</w:t>
      </w:r>
    </w:p>
    <w:p w:rsidR="00BE5FED" w:rsidRDefault="00BE5FED" w:rsidP="00BE5FED">
      <w:pPr>
        <w:pStyle w:val="bpuBill"/>
      </w:pPr>
      <w:r>
        <w:t>SENATE, Nos. 2566 and 2677</w:t>
      </w:r>
    </w:p>
    <w:p w:rsidR="00BE5FED" w:rsidRDefault="00BE5FED" w:rsidP="00BE5FE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65570698" r:id="rId8"/>
        </w:object>
      </w:r>
    </w:p>
    <w:p w:rsidR="00BE5FED" w:rsidRDefault="00BE5FED" w:rsidP="00BE5FED">
      <w:pPr>
        <w:pStyle w:val="bpuState"/>
      </w:pPr>
      <w:r>
        <w:t>STATE OF NEW JERSEY</w:t>
      </w:r>
    </w:p>
    <w:p w:rsidR="00BE5FED" w:rsidRDefault="00BE5FED" w:rsidP="00BE5FED">
      <w:pPr>
        <w:pStyle w:val="bpuLegislature"/>
      </w:pPr>
      <w:r>
        <w:t>219th LEGISLATURE</w:t>
      </w:r>
    </w:p>
    <w:p w:rsidR="00BE5FED" w:rsidRDefault="00BE5FED" w:rsidP="00BE5FED">
      <w:pPr>
        <w:pStyle w:val="bpuWpGraphic"/>
        <w:rPr>
          <w:spacing w:val="0"/>
          <w:szCs w:val="18"/>
        </w:rPr>
      </w:pPr>
      <w:r>
        <w:object w:dxaOrig="8985" w:dyaOrig="255">
          <v:shape id="_x0000_i1026" type="#_x0000_t75" style="width:6in;height:11.5pt" o:ole="">
            <v:imagedata r:id="rId7" o:title=""/>
          </v:shape>
          <o:OLEObject Type="Embed" ProgID="WPWin6.1" ShapeID="_x0000_i1026" DrawAspect="Content" ObjectID="_1665570699" r:id="rId9"/>
        </w:object>
      </w:r>
      <w:r>
        <w:t xml:space="preserve">  </w:t>
      </w:r>
      <w:r w:rsidRPr="00BE5FED">
        <w:rPr>
          <w:spacing w:val="0"/>
          <w:szCs w:val="18"/>
        </w:rPr>
        <w:t>ADOPTED SEPTEMBER 14, 2020</w:t>
      </w:r>
    </w:p>
    <w:p w:rsidR="00BE5FED" w:rsidRDefault="00BE5FED" w:rsidP="00BE5FED">
      <w:pPr>
        <w:pStyle w:val="bpuWpGraphic"/>
      </w:pPr>
    </w:p>
    <w:p w:rsidR="00BE5FED" w:rsidRDefault="00BE5FED" w:rsidP="00BE5FED">
      <w:pPr>
        <w:pStyle w:val="bpuWpGraphic"/>
        <w:sectPr w:rsidR="00BE5FED" w:rsidSect="00C71074">
          <w:headerReference w:type="default" r:id="rId10"/>
          <w:headerReference w:type="first" r:id="rId11"/>
          <w:footerReference w:type="first" r:id="rId12"/>
          <w:pgSz w:w="12240" w:h="20160" w:code="5"/>
          <w:pgMar w:top="2160" w:right="1440" w:bottom="1440" w:left="1440" w:header="1181" w:footer="2160" w:gutter="0"/>
          <w:cols w:space="720"/>
          <w:titlePg/>
          <w:docGrid w:linePitch="360"/>
        </w:sectPr>
      </w:pPr>
    </w:p>
    <w:p w:rsidR="00BE5FED" w:rsidRDefault="00BE5FED" w:rsidP="00BE5FED">
      <w:pPr>
        <w:pStyle w:val="bpuWpGraphic"/>
      </w:pPr>
    </w:p>
    <w:p w:rsidR="00BE5FED" w:rsidRDefault="00BE5FED" w:rsidP="00BE5FED">
      <w:pPr>
        <w:pStyle w:val="bpuSponsor"/>
      </w:pPr>
      <w:r>
        <w:t>Sponsored by:</w:t>
      </w:r>
    </w:p>
    <w:p w:rsidR="00BE5FED" w:rsidRDefault="00BE5FED" w:rsidP="00BE5FED">
      <w:pPr>
        <w:pStyle w:val="bpuSponsor"/>
      </w:pPr>
      <w:proofErr w:type="gramStart"/>
      <w:r>
        <w:t>Senator  PATRICK</w:t>
      </w:r>
      <w:proofErr w:type="gramEnd"/>
      <w:r>
        <w:t xml:space="preserve"> J. DIEGNAN, JR.</w:t>
      </w:r>
    </w:p>
    <w:p w:rsidR="00BE5FED" w:rsidRDefault="00BE5FED" w:rsidP="00BE5FED">
      <w:pPr>
        <w:pStyle w:val="bpuSponsor"/>
      </w:pPr>
      <w:r>
        <w:t>District 18 (Middlesex)</w:t>
      </w:r>
    </w:p>
    <w:p w:rsidR="00BE5FED" w:rsidRDefault="00BE5FED" w:rsidP="00BE5FED">
      <w:pPr>
        <w:pStyle w:val="bpuSponsor"/>
      </w:pPr>
      <w:proofErr w:type="gramStart"/>
      <w:r>
        <w:t>Senator  VIN</w:t>
      </w:r>
      <w:proofErr w:type="gramEnd"/>
      <w:r>
        <w:t xml:space="preserve"> GOPAL</w:t>
      </w:r>
    </w:p>
    <w:p w:rsidR="00BE5FED" w:rsidRDefault="00BE5FED" w:rsidP="00BE5FED">
      <w:pPr>
        <w:pStyle w:val="bpuSponsor"/>
      </w:pPr>
      <w:r>
        <w:t>District 11 (Monmouth)</w:t>
      </w:r>
    </w:p>
    <w:p w:rsidR="00BE5FED" w:rsidRDefault="00BE5FED" w:rsidP="00BE5FED">
      <w:pPr>
        <w:pStyle w:val="bpuSponsor"/>
      </w:pPr>
      <w:proofErr w:type="gramStart"/>
      <w:r>
        <w:t>Senator  JOSEPH</w:t>
      </w:r>
      <w:proofErr w:type="gramEnd"/>
      <w:r>
        <w:t xml:space="preserve"> F. VITALE</w:t>
      </w:r>
    </w:p>
    <w:p w:rsidR="00BE5FED" w:rsidRDefault="00BE5FED" w:rsidP="00BE5FED">
      <w:pPr>
        <w:pStyle w:val="bpuSponsor"/>
      </w:pPr>
      <w:r>
        <w:t>District 19 (Middlesex)</w:t>
      </w:r>
    </w:p>
    <w:p w:rsidR="00BE5FED" w:rsidRDefault="00BE5FED" w:rsidP="00BE5FED">
      <w:pPr>
        <w:pStyle w:val="bpuSponsor"/>
      </w:pPr>
    </w:p>
    <w:p w:rsidR="00BE5FED" w:rsidRDefault="00C71074" w:rsidP="00C71074">
      <w:pPr>
        <w:pStyle w:val="bpuSponsor"/>
      </w:pPr>
      <w:r>
        <w:t>Co-Sponsored by:</w:t>
      </w:r>
    </w:p>
    <w:p w:rsidR="00C71074" w:rsidRDefault="00C71074" w:rsidP="00C71074">
      <w:pPr>
        <w:pStyle w:val="bpuSponsor"/>
      </w:pPr>
      <w:r w:rsidRPr="00C71074">
        <w:t xml:space="preserve">Senators </w:t>
      </w:r>
      <w:proofErr w:type="spellStart"/>
      <w:r w:rsidRPr="00C71074">
        <w:t>Lagana</w:t>
      </w:r>
      <w:proofErr w:type="spellEnd"/>
      <w:r w:rsidRPr="00C71074">
        <w:t xml:space="preserve">, </w:t>
      </w:r>
      <w:proofErr w:type="spellStart"/>
      <w:r w:rsidRPr="00C71074">
        <w:t>Pou</w:t>
      </w:r>
      <w:proofErr w:type="spellEnd"/>
      <w:r w:rsidRPr="00C71074">
        <w:t xml:space="preserve"> and Greenstein</w:t>
      </w:r>
    </w:p>
    <w:p w:rsidR="00C71074" w:rsidRPr="00C71074" w:rsidRDefault="00C71074" w:rsidP="00C71074"/>
    <w:p w:rsidR="007E1AEF" w:rsidRDefault="007E1AEF" w:rsidP="007E1AEF"/>
    <w:p w:rsidR="007E1AEF" w:rsidRPr="007E1AEF" w:rsidRDefault="007E1AEF" w:rsidP="007E1AEF"/>
    <w:p w:rsidR="00BE5FED" w:rsidRDefault="00BE5FED" w:rsidP="00BE5FED">
      <w:pPr>
        <w:pStyle w:val="bpuSponsor"/>
      </w:pPr>
    </w:p>
    <w:p w:rsidR="00BE5FED" w:rsidRDefault="00BE5FED" w:rsidP="00BE5FED">
      <w:pPr>
        <w:pStyle w:val="bpuSponsor"/>
      </w:pPr>
      <w:r>
        <w:t>SYNOPSIS</w:t>
      </w:r>
    </w:p>
    <w:p w:rsidR="00BE5FED" w:rsidRDefault="000B06E9" w:rsidP="00BE5FED">
      <w:pPr>
        <w:pStyle w:val="bpuNormText"/>
      </w:pPr>
      <w:r>
        <w:tab/>
        <w:t>Requires long-term care facilities and hospitals to maintain minimum supply of personal protective equipment.</w:t>
      </w:r>
    </w:p>
    <w:p w:rsidR="00BE5FED" w:rsidRDefault="00BE5FED" w:rsidP="00BE5FED">
      <w:pPr>
        <w:pStyle w:val="bpuNormText"/>
      </w:pPr>
    </w:p>
    <w:p w:rsidR="00BE5FED" w:rsidRDefault="00BE5FED" w:rsidP="00BE5FED">
      <w:pPr>
        <w:pStyle w:val="bpuSponsor"/>
      </w:pPr>
      <w:r>
        <w:t xml:space="preserve">CURRENT VERSION OF TEXT </w:t>
      </w:r>
    </w:p>
    <w:p w:rsidR="00BE5FED" w:rsidRDefault="000B06E9" w:rsidP="00BE5FED">
      <w:pPr>
        <w:pStyle w:val="bpuNormText"/>
      </w:pPr>
      <w:r>
        <w:tab/>
        <w:t>As amended by the Senate on October 29, 2020.</w:t>
      </w:r>
    </w:p>
    <w:p w:rsidR="00BE5FED" w:rsidRPr="00BE5FED" w:rsidRDefault="00BE5FED" w:rsidP="000268D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E5FED" w:rsidRPr="009D38FF" w:rsidRDefault="00BE5FED" w:rsidP="00F26A20">
      <w:pPr>
        <w:jc w:val="center"/>
        <w:rPr>
          <w:szCs w:val="44"/>
        </w:rPr>
      </w:pPr>
    </w:p>
    <w:p w:rsidR="00BE5FED" w:rsidRDefault="00BE5FED" w:rsidP="00206013">
      <w:pPr>
        <w:tabs>
          <w:tab w:val="clear" w:pos="720"/>
          <w:tab w:val="clear" w:pos="1440"/>
          <w:tab w:val="clear" w:pos="2160"/>
          <w:tab w:val="clear" w:pos="2880"/>
          <w:tab w:val="clear" w:pos="3600"/>
          <w:tab w:val="left" w:pos="4860"/>
          <w:tab w:val="left" w:pos="6235"/>
        </w:tabs>
        <w:ind w:left="-1260" w:firstLine="900"/>
        <w:rPr>
          <w:sz w:val="20"/>
          <w:szCs w:val="20"/>
        </w:rPr>
        <w:sectPr w:rsidR="00BE5FED" w:rsidSect="00BE5FED">
          <w:type w:val="continuous"/>
          <w:pgSz w:w="12240" w:h="20160" w:code="5"/>
          <w:pgMar w:top="2160" w:right="2275" w:bottom="1440" w:left="2275" w:header="72" w:footer="720" w:gutter="0"/>
          <w:cols w:space="720"/>
          <w:docGrid w:linePitch="360"/>
        </w:sectPr>
      </w:pPr>
    </w:p>
    <w:p w:rsidR="00B8189D" w:rsidRPr="00C22FA2" w:rsidRDefault="000B06E9" w:rsidP="00C22FA2">
      <w:pPr>
        <w:pStyle w:val="HangingAnAct"/>
        <w:rPr>
          <w:b/>
          <w:smallCaps/>
        </w:rPr>
      </w:pPr>
      <w:r>
        <w:rPr>
          <w:b/>
          <w:smallCaps/>
        </w:rPr>
        <w:lastRenderedPageBreak/>
        <w:t>An Act</w:t>
      </w:r>
      <w:r>
        <w:t xml:space="preserve"> </w:t>
      </w:r>
      <w:r w:rsidRPr="007B59A6">
        <w:t>concerning</w:t>
      </w:r>
      <w:r>
        <w:t xml:space="preserve"> personal protective</w:t>
      </w:r>
      <w:r w:rsidRPr="009C1B13">
        <w:t xml:space="preserve"> equipment </w:t>
      </w:r>
      <w:r>
        <w:t xml:space="preserve">in long-term care facilities </w:t>
      </w:r>
      <w:r>
        <w:rPr>
          <w:rFonts w:ascii="Albertus Extra Bold" w:hAnsi="Albertus Extra Bold"/>
          <w:b/>
          <w:vertAlign w:val="superscript"/>
        </w:rPr>
        <w:t>1</w:t>
      </w:r>
      <w:r>
        <w:rPr>
          <w:u w:val="single"/>
        </w:rPr>
        <w:t>and hospitals</w:t>
      </w:r>
      <w:r>
        <w:rPr>
          <w:rFonts w:ascii="Albertus Extra Bold" w:hAnsi="Albertus Extra Bold"/>
          <w:b/>
          <w:vertAlign w:val="superscript"/>
        </w:rPr>
        <w:t>1</w:t>
      </w:r>
      <w:r>
        <w:t xml:space="preserve"> and supplementing Title 26 of the Revised Statutes.</w:t>
      </w:r>
    </w:p>
    <w:p w:rsidR="000B70FA" w:rsidRDefault="000B70FA" w:rsidP="003562E8"/>
    <w:p w:rsidR="00111E33" w:rsidRDefault="00160116" w:rsidP="00160116">
      <w:pPr>
        <w:tabs>
          <w:tab w:val="left" w:pos="360"/>
        </w:tabs>
        <w:rPr>
          <w:i/>
        </w:rPr>
      </w:pPr>
      <w:r>
        <w:rPr>
          <w:b/>
        </w:rPr>
        <w:tab/>
      </w:r>
      <w:r w:rsidR="00F836B1">
        <w:rPr>
          <w:b/>
          <w:smallCaps/>
        </w:rPr>
        <w:t>Be It Enacted</w:t>
      </w:r>
      <w:r w:rsidR="004E3E31">
        <w:rPr>
          <w:sz w:val="20"/>
          <w:szCs w:val="20"/>
        </w:rPr>
        <w:t xml:space="preserve"> </w:t>
      </w:r>
      <w:r w:rsidR="00F836B1">
        <w:rPr>
          <w:i/>
        </w:rPr>
        <w:t>by the Senate and General Assembly of the State of New Jersey:</w:t>
      </w:r>
    </w:p>
    <w:p w:rsidR="00382423" w:rsidRDefault="00382423" w:rsidP="000B70FA"/>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1.</w:t>
      </w:r>
      <w:r w:rsidRPr="000B06E9">
        <w:rPr>
          <w:spacing w:val="0"/>
        </w:rPr>
        <w:tab/>
      </w:r>
      <w:proofErr w:type="gramStart"/>
      <w:r w:rsidRPr="000B06E9">
        <w:rPr>
          <w:spacing w:val="0"/>
        </w:rPr>
        <w:t>a</w:t>
      </w:r>
      <w:proofErr w:type="gramEnd"/>
      <w:r w:rsidRPr="000B06E9">
        <w:rPr>
          <w:spacing w:val="0"/>
        </w:rPr>
        <w:t xml:space="preserve">.  Each long-term care facility shall </w:t>
      </w:r>
      <w:r w:rsidRPr="000B06E9">
        <w:rPr>
          <w:rFonts w:ascii="Albertus Extra Bold" w:hAnsi="Albertus Extra Bold"/>
          <w:b/>
          <w:vertAlign w:val="superscript"/>
        </w:rPr>
        <w:t>1</w:t>
      </w:r>
      <w:r w:rsidRPr="000B06E9">
        <w:rPr>
          <w:spacing w:val="0"/>
          <w:u w:val="single"/>
        </w:rPr>
        <w:t>make a good faith effort to</w:t>
      </w:r>
      <w:r w:rsidRPr="000B06E9">
        <w:rPr>
          <w:rFonts w:ascii="Albertus Extra Bold" w:hAnsi="Albertus Extra Bold"/>
          <w:b/>
          <w:vertAlign w:val="superscript"/>
        </w:rPr>
        <w:t>1</w:t>
      </w:r>
      <w:r w:rsidRPr="000B06E9">
        <w:rPr>
          <w:spacing w:val="0"/>
        </w:rPr>
        <w:t xml:space="preserve"> maintain an adequate emergency stockpile of personal protective equipment necessary to meet the facility’s need for personal protective equipment for:</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B06E9">
        <w:rPr>
          <w:spacing w:val="0"/>
        </w:rPr>
        <w:tab/>
        <w:t xml:space="preserve">(1)  In the case of a facility that is part of a system that owns or operates eight or more facilities, 30 days; </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B06E9">
        <w:rPr>
          <w:spacing w:val="0"/>
        </w:rPr>
        <w:tab/>
        <w:t>(2)  In the case of a facility that is part of a system that owns or operates fewer than eight facilities, 60 days; and</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For the purposes of meeting the requirements of this subsection, a facility that is not part of a system or that is part of a system that owns or operates fewer than eight facilities may enter into a collaborative agreement with other facilities or with one or more systems, which collaborative agreement shall be deemed to render the facility part of a system comprising of the health care facility and any other health care facilities that are party to the collaborative agreement or that are part of a system that is party to the collaborative agreement.  The collaborative agreement shall, at a minimum, include protocols for sharing personal protective equipment among facilities that are part of the system established pursuant to the collaborative agreement.</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B06E9">
        <w:rPr>
          <w:spacing w:val="0"/>
        </w:rPr>
        <w:tab/>
        <w:t>b.</w:t>
      </w:r>
      <w:r w:rsidRPr="000B06E9">
        <w:rPr>
          <w:spacing w:val="0"/>
        </w:rPr>
        <w:tab/>
      </w:r>
      <w:r w:rsidRPr="000B06E9">
        <w:rPr>
          <w:rFonts w:ascii="Albertus Extra Bold" w:hAnsi="Albertus Extra Bold"/>
          <w:b/>
          <w:vertAlign w:val="superscript"/>
        </w:rPr>
        <w:t>1</w:t>
      </w:r>
      <w:r w:rsidRPr="000B06E9">
        <w:rPr>
          <w:spacing w:val="0"/>
          <w:u w:val="single"/>
        </w:rPr>
        <w:t>Each general acute care hospital shall make a good faith effort to maintain at least a 90-day emergency stockpile of personal protective equipment at all times.  A system comprising multiple hospitals may count the total emergency stockpile of personal protective equipment available at all hospitals that are part of that system when determining whether a hospital is in compliance with the personal protective equipment emergency stockpile requirements set forth in this subsection, provided that the total quantity of personal protective equipment available throughout the system is equivalent to at least a 90-day emergency supply of personal protective equipment for each hospital that is a part of the system.</w:t>
      </w:r>
    </w:p>
    <w:p w:rsid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B06E9">
        <w:rPr>
          <w:spacing w:val="0"/>
        </w:rPr>
        <w:tab/>
      </w:r>
      <w:r w:rsidRPr="000B06E9">
        <w:rPr>
          <w:spacing w:val="0"/>
          <w:u w:val="single"/>
        </w:rPr>
        <w:t>c.</w:t>
      </w:r>
      <w:r w:rsidRPr="000B06E9">
        <w:rPr>
          <w:spacing w:val="0"/>
          <w:u w:val="single"/>
        </w:rPr>
        <w:tab/>
        <w:t>For the purposes of this act, any determination as to whether a long-term care facility has made a good faith effort to maintain a minimum stockpile of personal protective equipment consistent with the requirements of subsection a. of this section or whether a hospital has made a good faith effort to maintain a minimum stockpile of personal protective equipment consistent with the requirements of subsection b. of this section shall take into consideration the current state of the supply chai</w:t>
      </w:r>
      <w:bookmarkStart w:id="1" w:name="_GoBack"/>
      <w:bookmarkEnd w:id="1"/>
      <w:r w:rsidRPr="000B06E9">
        <w:rPr>
          <w:spacing w:val="0"/>
          <w:u w:val="single"/>
        </w:rPr>
        <w:t>n of personal pro</w:t>
      </w:r>
      <w:r>
        <w:rPr>
          <w:spacing w:val="0"/>
          <w:u w:val="single"/>
        </w:rPr>
        <w:t>tective equipment in the State,</w:t>
      </w:r>
      <w:r>
        <w:br w:type="page"/>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proofErr w:type="gramStart"/>
      <w:r w:rsidRPr="000B06E9">
        <w:rPr>
          <w:spacing w:val="0"/>
          <w:u w:val="single"/>
        </w:rPr>
        <w:lastRenderedPageBreak/>
        <w:t>including</w:t>
      </w:r>
      <w:proofErr w:type="gramEnd"/>
      <w:r w:rsidRPr="000B06E9">
        <w:rPr>
          <w:spacing w:val="0"/>
          <w:u w:val="single"/>
        </w:rPr>
        <w:t>, but not limited to, unit cost, recent price increases, overall availability, and delays in shipping times.</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r>
      <w:proofErr w:type="gramStart"/>
      <w:r w:rsidRPr="000B06E9">
        <w:rPr>
          <w:spacing w:val="0"/>
          <w:u w:val="single"/>
        </w:rPr>
        <w:t>d.</w:t>
      </w:r>
      <w:r w:rsidRPr="000B06E9">
        <w:rPr>
          <w:rFonts w:ascii="Albertus Extra Bold" w:hAnsi="Albertus Extra Bold"/>
          <w:b/>
          <w:vertAlign w:val="superscript"/>
        </w:rPr>
        <w:t>1</w:t>
      </w:r>
      <w:r w:rsidRPr="000B06E9">
        <w:rPr>
          <w:spacing w:val="0"/>
        </w:rPr>
        <w:t xml:space="preserve">  In</w:t>
      </w:r>
      <w:proofErr w:type="gramEnd"/>
      <w:r w:rsidRPr="000B06E9">
        <w:rPr>
          <w:spacing w:val="0"/>
        </w:rPr>
        <w:t xml:space="preserve"> determining the quantity of personal protective equipment a </w:t>
      </w:r>
      <w:r w:rsidRPr="000B06E9">
        <w:rPr>
          <w:rFonts w:ascii="Albertus Extra Bold" w:hAnsi="Albertus Extra Bold"/>
          <w:b/>
          <w:vertAlign w:val="superscript"/>
        </w:rPr>
        <w:t>1</w:t>
      </w:r>
      <w:r w:rsidRPr="000B06E9">
        <w:rPr>
          <w:spacing w:val="0"/>
          <w:u w:val="single"/>
        </w:rPr>
        <w:t>long-term care</w:t>
      </w:r>
      <w:r w:rsidRPr="000B06E9">
        <w:rPr>
          <w:rFonts w:ascii="Albertus Extra Bold" w:hAnsi="Albertus Extra Bold"/>
          <w:b/>
          <w:vertAlign w:val="superscript"/>
        </w:rPr>
        <w:t>1</w:t>
      </w:r>
      <w:r w:rsidRPr="000B06E9">
        <w:rPr>
          <w:spacing w:val="0"/>
        </w:rPr>
        <w:t xml:space="preserve"> facility </w:t>
      </w:r>
      <w:r w:rsidRPr="000B06E9">
        <w:rPr>
          <w:rFonts w:ascii="Albertus Extra Bold" w:hAnsi="Albertus Extra Bold"/>
          <w:b/>
          <w:vertAlign w:val="superscript"/>
        </w:rPr>
        <w:t>1</w:t>
      </w:r>
      <w:r w:rsidRPr="000B06E9">
        <w:rPr>
          <w:spacing w:val="0"/>
          <w:u w:val="single"/>
        </w:rPr>
        <w:t>or hospital</w:t>
      </w:r>
      <w:r w:rsidRPr="000B06E9">
        <w:rPr>
          <w:rFonts w:ascii="Albertus Extra Bold" w:hAnsi="Albertus Extra Bold"/>
          <w:b/>
          <w:vertAlign w:val="superscript"/>
        </w:rPr>
        <w:t>1</w:t>
      </w:r>
      <w:r w:rsidRPr="000B06E9">
        <w:rPr>
          <w:spacing w:val="0"/>
        </w:rPr>
        <w:t xml:space="preserve"> will need to maintain in order to meet the requirements of this section, the facility </w:t>
      </w:r>
      <w:r w:rsidRPr="000B06E9">
        <w:rPr>
          <w:rFonts w:ascii="Albertus Extra Bold" w:hAnsi="Albertus Extra Bold"/>
          <w:b/>
          <w:vertAlign w:val="superscript"/>
        </w:rPr>
        <w:t>1</w:t>
      </w:r>
      <w:r w:rsidRPr="000B06E9">
        <w:rPr>
          <w:spacing w:val="0"/>
          <w:u w:val="single"/>
        </w:rPr>
        <w:t>or hospital</w:t>
      </w:r>
      <w:r w:rsidRPr="000B06E9">
        <w:rPr>
          <w:rFonts w:ascii="Albertus Extra Bold" w:hAnsi="Albertus Extra Bold"/>
          <w:b/>
          <w:vertAlign w:val="superscript"/>
        </w:rPr>
        <w:t>1</w:t>
      </w:r>
      <w:r w:rsidRPr="000B06E9">
        <w:rPr>
          <w:spacing w:val="0"/>
        </w:rPr>
        <w:t xml:space="preserve"> shall:</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 xml:space="preserve">(1)  </w:t>
      </w:r>
      <w:proofErr w:type="gramStart"/>
      <w:r w:rsidRPr="000B06E9">
        <w:rPr>
          <w:spacing w:val="0"/>
        </w:rPr>
        <w:t>take</w:t>
      </w:r>
      <w:proofErr w:type="gramEnd"/>
      <w:r w:rsidRPr="000B06E9">
        <w:rPr>
          <w:spacing w:val="0"/>
        </w:rPr>
        <w:t xml:space="preserve"> into account prevailing conditions in the State that may affect the need for and availability of personal protective equipment;</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 xml:space="preserve">(2)  take into account anticipated surges, over the next 90 days, in the need for personal protective equipment at that facility </w:t>
      </w:r>
      <w:r w:rsidRPr="000B06E9">
        <w:rPr>
          <w:rFonts w:ascii="Albertus Extra Bold" w:hAnsi="Albertus Extra Bold"/>
          <w:b/>
          <w:vertAlign w:val="superscript"/>
        </w:rPr>
        <w:t>1</w:t>
      </w:r>
      <w:r w:rsidRPr="000B06E9">
        <w:rPr>
          <w:spacing w:val="0"/>
          <w:u w:val="single"/>
        </w:rPr>
        <w:t>or hospital</w:t>
      </w:r>
      <w:r w:rsidRPr="000B06E9">
        <w:rPr>
          <w:rFonts w:ascii="Albertus Extra Bold" w:hAnsi="Albertus Extra Bold"/>
          <w:b/>
          <w:vertAlign w:val="superscript"/>
        </w:rPr>
        <w:t>1</w:t>
      </w:r>
      <w:r w:rsidRPr="000B06E9">
        <w:rPr>
          <w:spacing w:val="0"/>
        </w:rPr>
        <w:t xml:space="preserve"> and at other facilities </w:t>
      </w:r>
      <w:r w:rsidRPr="000B06E9">
        <w:rPr>
          <w:rFonts w:ascii="Albertus Extra Bold" w:hAnsi="Albertus Extra Bold"/>
          <w:b/>
          <w:vertAlign w:val="superscript"/>
        </w:rPr>
        <w:t>1</w:t>
      </w:r>
      <w:r w:rsidRPr="000B06E9">
        <w:rPr>
          <w:spacing w:val="0"/>
          <w:u w:val="single"/>
        </w:rPr>
        <w:t>or hospitals</w:t>
      </w:r>
      <w:r w:rsidRPr="000B06E9">
        <w:rPr>
          <w:rFonts w:ascii="Albertus Extra Bold" w:hAnsi="Albertus Extra Bold"/>
          <w:b/>
          <w:vertAlign w:val="superscript"/>
        </w:rPr>
        <w:t>1</w:t>
      </w:r>
      <w:r w:rsidRPr="000B06E9">
        <w:rPr>
          <w:spacing w:val="0"/>
        </w:rPr>
        <w:t xml:space="preserve"> that are part of the same system as the facility </w:t>
      </w:r>
      <w:r w:rsidRPr="000B06E9">
        <w:rPr>
          <w:rFonts w:ascii="Albertus Extra Bold" w:hAnsi="Albertus Extra Bold"/>
          <w:b/>
          <w:vertAlign w:val="superscript"/>
        </w:rPr>
        <w:t>1</w:t>
      </w:r>
      <w:r w:rsidRPr="000B06E9">
        <w:rPr>
          <w:spacing w:val="0"/>
          <w:u w:val="single"/>
        </w:rPr>
        <w:t>or hospital</w:t>
      </w:r>
      <w:r w:rsidRPr="000B06E9">
        <w:rPr>
          <w:rFonts w:ascii="Albertus Extra Bold" w:hAnsi="Albertus Extra Bold"/>
          <w:b/>
          <w:vertAlign w:val="superscript"/>
        </w:rPr>
        <w:t>1</w:t>
      </w:r>
      <w:r w:rsidRPr="000B06E9">
        <w:rPr>
          <w:spacing w:val="0"/>
        </w:rPr>
        <w:t xml:space="preserve"> ; and</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(3)</w:t>
      </w:r>
      <w:r w:rsidRPr="000B06E9">
        <w:rPr>
          <w:spacing w:val="0"/>
        </w:rPr>
        <w:tab/>
      </w:r>
      <w:proofErr w:type="gramStart"/>
      <w:r w:rsidRPr="000B06E9">
        <w:rPr>
          <w:spacing w:val="0"/>
        </w:rPr>
        <w:t>utilize</w:t>
      </w:r>
      <w:proofErr w:type="gramEnd"/>
      <w:r w:rsidRPr="000B06E9">
        <w:rPr>
          <w:spacing w:val="0"/>
        </w:rPr>
        <w:t xml:space="preserve"> any burn rate calculator or other tool as the Department of Health may designate for use in determining the anticipated need for personal protective equipment.</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 xml:space="preserve">The facility </w:t>
      </w:r>
      <w:r w:rsidRPr="000B06E9">
        <w:rPr>
          <w:rFonts w:ascii="Albertus Extra Bold" w:hAnsi="Albertus Extra Bold"/>
          <w:b/>
          <w:vertAlign w:val="superscript"/>
        </w:rPr>
        <w:t>1</w:t>
      </w:r>
      <w:r w:rsidRPr="000B06E9">
        <w:rPr>
          <w:spacing w:val="0"/>
          <w:u w:val="single"/>
        </w:rPr>
        <w:t>and hospital</w:t>
      </w:r>
      <w:r w:rsidRPr="000B06E9">
        <w:rPr>
          <w:rFonts w:ascii="Albertus Extra Bold" w:hAnsi="Albertus Extra Bold"/>
          <w:b/>
          <w:vertAlign w:val="superscript"/>
        </w:rPr>
        <w:t>1</w:t>
      </w:r>
      <w:r w:rsidRPr="000B06E9">
        <w:rPr>
          <w:spacing w:val="0"/>
        </w:rPr>
        <w:t xml:space="preserve"> shall immediately reevaluate the adequacy of its stockpile of personal protective equipment upon any declaration of </w:t>
      </w:r>
      <w:r w:rsidRPr="000B06E9">
        <w:rPr>
          <w:rFonts w:ascii="Albertus Extra Bold" w:hAnsi="Albertus Extra Bold"/>
          <w:b/>
          <w:vertAlign w:val="superscript"/>
        </w:rPr>
        <w:t>1</w:t>
      </w:r>
      <w:r w:rsidRPr="000B06E9">
        <w:rPr>
          <w:spacing w:val="0"/>
          <w:u w:val="single"/>
        </w:rPr>
        <w:t>a state of emergency by the Governor or</w:t>
      </w:r>
      <w:r w:rsidRPr="000B06E9">
        <w:rPr>
          <w:rFonts w:ascii="Albertus Extra Bold" w:hAnsi="Albertus Extra Bold"/>
          <w:b/>
          <w:vertAlign w:val="superscript"/>
        </w:rPr>
        <w:t>1</w:t>
      </w:r>
      <w:r w:rsidRPr="000B06E9">
        <w:rPr>
          <w:spacing w:val="0"/>
        </w:rPr>
        <w:t xml:space="preserve"> a public health emergency pursuant to P.L.2005, c.222 (C.26:13-1 et seq.) in response to an outbreak, epidemic, or pandemic involving an infectious disease, and shall acquire such additional supplies of personal protective equipment as it determines are necessary to meet increases in the need for and use of personal protective equipment during the </w:t>
      </w:r>
      <w:r w:rsidRPr="000B06E9">
        <w:rPr>
          <w:rFonts w:ascii="Albertus Extra Bold" w:hAnsi="Albertus Extra Bold"/>
          <w:b/>
          <w:vertAlign w:val="superscript"/>
        </w:rPr>
        <w:t>1</w:t>
      </w:r>
      <w:r w:rsidRPr="000B06E9">
        <w:rPr>
          <w:spacing w:val="0"/>
          <w:u w:val="single"/>
        </w:rPr>
        <w:t>state of emergency or</w:t>
      </w:r>
      <w:r w:rsidRPr="000B06E9">
        <w:rPr>
          <w:rFonts w:ascii="Albertus Extra Bold" w:hAnsi="Albertus Extra Bold"/>
          <w:b/>
          <w:vertAlign w:val="superscript"/>
        </w:rPr>
        <w:t>1</w:t>
      </w:r>
      <w:r w:rsidRPr="000B06E9">
        <w:rPr>
          <w:spacing w:val="0"/>
        </w:rPr>
        <w:t xml:space="preserve"> public health emergency.</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r>
      <w:r w:rsidRPr="000B06E9">
        <w:rPr>
          <w:rFonts w:ascii="Albertus Extra Bold" w:hAnsi="Albertus Extra Bold"/>
          <w:b/>
          <w:vertAlign w:val="superscript"/>
        </w:rPr>
        <w:t>1</w:t>
      </w:r>
      <w:r w:rsidRPr="000B06E9">
        <w:rPr>
          <w:rFonts w:ascii="Albertus Extra Bold" w:hAnsi="Albertus Extra Bold"/>
          <w:b/>
        </w:rPr>
        <w:t>[</w:t>
      </w:r>
      <w:r w:rsidRPr="000B06E9">
        <w:rPr>
          <w:spacing w:val="0"/>
        </w:rPr>
        <w:t>c.</w:t>
      </w:r>
      <w:r w:rsidRPr="000B06E9">
        <w:rPr>
          <w:rFonts w:ascii="Albertus Extra Bold" w:hAnsi="Albertus Extra Bold"/>
          <w:b/>
        </w:rPr>
        <w:t>]</w:t>
      </w:r>
      <w:r w:rsidRPr="000B06E9">
        <w:rPr>
          <w:spacing w:val="0"/>
        </w:rPr>
        <w:t xml:space="preserve"> </w:t>
      </w:r>
      <w:proofErr w:type="gramStart"/>
      <w:r w:rsidRPr="000B06E9">
        <w:rPr>
          <w:spacing w:val="0"/>
          <w:u w:val="single"/>
        </w:rPr>
        <w:t>e.</w:t>
      </w:r>
      <w:r w:rsidRPr="000B06E9">
        <w:rPr>
          <w:rFonts w:ascii="Albertus Extra Bold" w:hAnsi="Albertus Extra Bold"/>
          <w:b/>
          <w:vertAlign w:val="superscript"/>
        </w:rPr>
        <w:t>1</w:t>
      </w:r>
      <w:r w:rsidRPr="000B06E9">
        <w:rPr>
          <w:spacing w:val="0"/>
        </w:rPr>
        <w:t xml:space="preserve">  The</w:t>
      </w:r>
      <w:proofErr w:type="gramEnd"/>
      <w:r w:rsidRPr="000B06E9">
        <w:rPr>
          <w:spacing w:val="0"/>
        </w:rPr>
        <w:t xml:space="preserve"> Department of Health may impose fines or other administrative remedies against any facility </w:t>
      </w:r>
      <w:r w:rsidRPr="000B06E9">
        <w:rPr>
          <w:rFonts w:ascii="Albertus Extra Bold" w:hAnsi="Albertus Extra Bold"/>
          <w:b/>
          <w:vertAlign w:val="superscript"/>
        </w:rPr>
        <w:t>1</w:t>
      </w:r>
      <w:r w:rsidRPr="000B06E9">
        <w:rPr>
          <w:spacing w:val="0"/>
          <w:u w:val="single"/>
        </w:rPr>
        <w:t>or hospital</w:t>
      </w:r>
      <w:r w:rsidRPr="000B06E9">
        <w:rPr>
          <w:rFonts w:ascii="Albertus Extra Bold" w:hAnsi="Albertus Extra Bold"/>
          <w:b/>
          <w:vertAlign w:val="superscript"/>
        </w:rPr>
        <w:t>1</w:t>
      </w:r>
      <w:r w:rsidRPr="000B06E9">
        <w:rPr>
          <w:spacing w:val="0"/>
        </w:rPr>
        <w:t xml:space="preserve"> that violates the requirements of this section.</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r>
      <w:r w:rsidRPr="000B06E9">
        <w:rPr>
          <w:rFonts w:ascii="Albertus Extra Bold" w:hAnsi="Albertus Extra Bold"/>
          <w:b/>
          <w:vertAlign w:val="superscript"/>
        </w:rPr>
        <w:t>1</w:t>
      </w:r>
      <w:r w:rsidRPr="000B06E9">
        <w:rPr>
          <w:rFonts w:ascii="Albertus Extra Bold" w:hAnsi="Albertus Extra Bold"/>
          <w:b/>
        </w:rPr>
        <w:t>[</w:t>
      </w:r>
      <w:r w:rsidRPr="000B06E9">
        <w:rPr>
          <w:spacing w:val="0"/>
        </w:rPr>
        <w:t>d.</w:t>
      </w:r>
      <w:r w:rsidRPr="000B06E9">
        <w:rPr>
          <w:rFonts w:ascii="Albertus Extra Bold" w:hAnsi="Albertus Extra Bold"/>
          <w:b/>
        </w:rPr>
        <w:t>]</w:t>
      </w:r>
      <w:r w:rsidRPr="000B06E9">
        <w:rPr>
          <w:spacing w:val="0"/>
        </w:rPr>
        <w:t xml:space="preserve"> </w:t>
      </w:r>
      <w:proofErr w:type="gramStart"/>
      <w:r w:rsidRPr="000B06E9">
        <w:rPr>
          <w:spacing w:val="0"/>
          <w:u w:val="single"/>
        </w:rPr>
        <w:t>f.</w:t>
      </w:r>
      <w:r w:rsidRPr="000B06E9">
        <w:rPr>
          <w:rFonts w:ascii="Albertus Extra Bold" w:hAnsi="Albertus Extra Bold"/>
          <w:b/>
          <w:vertAlign w:val="superscript"/>
        </w:rPr>
        <w:t>1</w:t>
      </w:r>
      <w:r w:rsidRPr="000B06E9">
        <w:rPr>
          <w:spacing w:val="0"/>
        </w:rPr>
        <w:t xml:space="preserve">  As</w:t>
      </w:r>
      <w:proofErr w:type="gramEnd"/>
      <w:r w:rsidRPr="000B06E9">
        <w:rPr>
          <w:spacing w:val="0"/>
        </w:rPr>
        <w:t xml:space="preserve"> used in this section:</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B06E9">
        <w:rPr>
          <w:spacing w:val="0"/>
        </w:rPr>
        <w:tab/>
      </w:r>
      <w:r w:rsidRPr="000B06E9">
        <w:rPr>
          <w:rFonts w:ascii="Albertus Extra Bold" w:hAnsi="Albertus Extra Bold"/>
          <w:b/>
          <w:vertAlign w:val="superscript"/>
        </w:rPr>
        <w:t>1</w:t>
      </w:r>
      <w:r w:rsidRPr="000B06E9">
        <w:rPr>
          <w:spacing w:val="0"/>
          <w:u w:val="single"/>
        </w:rPr>
        <w:t>“General acute care hospital” means a general acute care hospital licensed pursuant to P.L.1971, c.136 (C.26:2H-1 et seq.).</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B06E9">
        <w:rPr>
          <w:spacing w:val="0"/>
        </w:rPr>
        <w:tab/>
      </w:r>
      <w:r w:rsidRPr="000B06E9">
        <w:rPr>
          <w:spacing w:val="0"/>
          <w:u w:val="single"/>
        </w:rPr>
        <w:t>"Infectious disease" means a disease caused by a living organism or other pathogen, including a fungus, bacteria, parasite, protozoan, virus, or prion.  An infectious disease may, or may not, be transmissible from person to person, animal to person, or insect to person.</w:t>
      </w:r>
      <w:r w:rsidRPr="000B06E9">
        <w:rPr>
          <w:rFonts w:ascii="Albertus Extra Bold" w:hAnsi="Albertus Extra Bold"/>
          <w:b/>
          <w:vertAlign w:val="superscript"/>
        </w:rPr>
        <w:t>1</w:t>
      </w:r>
    </w:p>
    <w:p w:rsidR="000B06E9" w:rsidRPr="000B06E9" w:rsidRDefault="000B06E9" w:rsidP="000B06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B06E9">
        <w:rPr>
          <w:spacing w:val="0"/>
        </w:rPr>
        <w:tab/>
        <w:t>"Long-term care facility" means a nursing home, assisted living residence, comprehensive personal care home, residential health care facility, or dementia care home licensed pursuant to P.L.1971, c.136 (C.26:2H-1 et seq.).</w:t>
      </w:r>
    </w:p>
    <w:p w:rsidR="00726ACA" w:rsidRPr="008A2B44" w:rsidRDefault="000B06E9" w:rsidP="000B06E9">
      <w:pPr>
        <w:rPr>
          <w:sz w:val="23"/>
          <w:szCs w:val="23"/>
        </w:rPr>
      </w:pPr>
      <w:r w:rsidRPr="000B06E9">
        <w:rPr>
          <w:spacing w:val="0"/>
          <w:sz w:val="23"/>
          <w:szCs w:val="23"/>
        </w:rPr>
        <w:tab/>
        <w:t xml:space="preserve">“Personal protective equipment” means any items commonly used to protect an individual from bacterial or viral infections, including, but not limited to, disinfecting wipes, disposable gloves, disposable gowns, face shields, </w:t>
      </w:r>
      <w:r w:rsidRPr="000B06E9">
        <w:rPr>
          <w:spacing w:val="0"/>
        </w:rPr>
        <w:t>N95 face masks</w:t>
      </w:r>
      <w:r w:rsidRPr="000B06E9">
        <w:rPr>
          <w:spacing w:val="0"/>
          <w:sz w:val="23"/>
          <w:szCs w:val="23"/>
        </w:rPr>
        <w:t>, surgical masks, or parts thereof.</w:t>
      </w:r>
    </w:p>
    <w:p w:rsidR="000B70FA" w:rsidRPr="000B70FA" w:rsidRDefault="000B70FA" w:rsidP="000B70FA"/>
    <w:p w:rsidR="007B59A6" w:rsidRDefault="000B70FA" w:rsidP="000B70FA">
      <w:r w:rsidRPr="000B70FA">
        <w:tab/>
        <w:t>2.</w:t>
      </w:r>
      <w:r w:rsidRPr="000B70FA">
        <w:tab/>
        <w:t>The Commissioner of Health may adopt rules and regulations, in accordance with the “Administrative Procedure Act,” P.L.1968, c.410 (C.52:14B-1 et seq.), as are necessary to effectuate the provisions of this act.</w:t>
      </w:r>
    </w:p>
    <w:p w:rsidR="007E06CB" w:rsidRPr="000B70FA" w:rsidRDefault="007E06CB" w:rsidP="000B70FA"/>
    <w:p w:rsidR="00A852A2" w:rsidRDefault="000B70FA" w:rsidP="000B70FA">
      <w:r w:rsidRPr="000B70FA">
        <w:tab/>
        <w:t>3.</w:t>
      </w:r>
      <w:r w:rsidRPr="000B70FA">
        <w:tab/>
        <w:t>This act shall take effect immediately</w:t>
      </w:r>
      <w:r w:rsidR="00BB5979">
        <w:t>.</w:t>
      </w:r>
      <w:r w:rsidRPr="000B70FA">
        <w:t xml:space="preserve"> </w:t>
      </w:r>
    </w:p>
    <w:sectPr w:rsidR="00A852A2" w:rsidSect="00DD13CE">
      <w:headerReference w:type="first" r:id="rId14"/>
      <w:footerReference w:type="first" r:id="rId15"/>
      <w:pgSz w:w="12240" w:h="20160" w:code="5"/>
      <w:pgMar w:top="1440" w:right="2520" w:bottom="900" w:left="2880" w:header="1181" w:footer="845"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35" w:rsidRDefault="001E0035">
      <w:r>
        <w:separator/>
      </w:r>
    </w:p>
  </w:endnote>
  <w:endnote w:type="continuationSeparator" w:id="0">
    <w:p w:rsidR="001E0035" w:rsidRDefault="001E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80000000" w:usb2="00000008"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4" w:rsidRDefault="00C71074" w:rsidP="00C71074">
    <w:pPr>
      <w:pStyle w:val="sponUdate"/>
    </w:pPr>
    <w:r>
      <w:t>(Sponsorship Updated As Of: 10/29/2020)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E9" w:rsidRPr="00921C91" w:rsidRDefault="000B06E9" w:rsidP="000B06E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B06E9" w:rsidRDefault="000B06E9" w:rsidP="000B06E9">
    <w:pPr>
      <w:pStyle w:val="Footer"/>
    </w:pPr>
    <w:r>
      <w:rPr>
        <w:szCs w:val="18"/>
      </w:rPr>
      <w:tab/>
    </w:r>
    <w:r w:rsidRPr="00921C91">
      <w:rPr>
        <w:szCs w:val="18"/>
      </w:rPr>
      <w:t xml:space="preserve">Matter underlined </w:t>
    </w:r>
    <w:r w:rsidRPr="00000D7D">
      <w:rPr>
        <w:szCs w:val="18"/>
        <w:u w:val="single"/>
      </w:rPr>
      <w:t>thus</w:t>
    </w:r>
    <w:r>
      <w:rPr>
        <w:szCs w:val="18"/>
      </w:rPr>
      <w:t xml:space="preserve"> is new matter</w:t>
    </w:r>
    <w:r>
      <w:rPr>
        <w:szCs w:val="18"/>
      </w:rPr>
      <w:tab/>
    </w:r>
  </w:p>
  <w:p w:rsidR="000B06E9" w:rsidRDefault="000B06E9">
    <w:pPr>
      <w:pStyle w:val="Footer"/>
    </w:pPr>
    <w:r>
      <w:tab/>
      <w:t>Matter enclosed in superscript numerals has been adopted as follows:</w:t>
    </w:r>
  </w:p>
  <w:p w:rsidR="000B06E9" w:rsidRDefault="000B06E9">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 Senate floor amendments adopted October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35" w:rsidRDefault="001E0035">
      <w:r>
        <w:separator/>
      </w:r>
    </w:p>
  </w:footnote>
  <w:footnote w:type="continuationSeparator" w:id="0">
    <w:p w:rsidR="001E0035" w:rsidRDefault="001E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BE5FED" w:rsidRDefault="00DD13CE" w:rsidP="00BE5FED">
    <w:pPr>
      <w:pStyle w:val="bpuHeadSpon"/>
    </w:pPr>
    <w:r>
      <w:t>[</w:t>
    </w:r>
    <w:r w:rsidR="000B06E9">
      <w:t>1R</w:t>
    </w:r>
    <w:r>
      <w:t>]</w:t>
    </w:r>
    <w:r w:rsidR="000B06E9">
      <w:t xml:space="preserve"> </w:t>
    </w:r>
    <w:r w:rsidR="00BE5FED">
      <w:t xml:space="preserve">SCS for </w:t>
    </w:r>
    <w:r w:rsidR="00BE5FED" w:rsidRPr="00E53914">
      <w:rPr>
        <w:b/>
      </w:rPr>
      <w:t>S25</w:t>
    </w:r>
    <w:r w:rsidR="00BE5FED" w:rsidRPr="00BE5FED">
      <w:rPr>
        <w:rStyle w:val="bpuHeadSponChar"/>
      </w:rPr>
      <w:t>66</w:t>
    </w:r>
    <w:r w:rsidR="00BE5FED">
      <w:t xml:space="preserve"> DIEGNAN, GOPAL</w:t>
    </w:r>
  </w:p>
  <w:p w:rsidR="00BE5FED" w:rsidRDefault="00BE5FED" w:rsidP="00BE5FED">
    <w:pPr>
      <w:pStyle w:val="bpuHeadSpon"/>
    </w:pPr>
    <w:r>
      <w:fldChar w:fldCharType="begin"/>
    </w:r>
    <w:r>
      <w:instrText xml:space="preserve"> PAGE  \* MERGEFORMAT </w:instrText>
    </w:r>
    <w:r>
      <w:fldChar w:fldCharType="separate"/>
    </w:r>
    <w:r w:rsidR="00341788">
      <w:rPr>
        <w:noProof/>
      </w:rPr>
      <w:t>3</w:t>
    </w:r>
    <w:r>
      <w:fldChar w:fldCharType="end"/>
    </w:r>
  </w:p>
  <w:p w:rsidR="00BE5FED" w:rsidRDefault="00BE5FED" w:rsidP="00BE5FED">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ED" w:rsidRDefault="00BE5FED" w:rsidP="0074048B">
    <w:pPr>
      <w:pStyle w:val="Header"/>
      <w:jc w:val="center"/>
    </w:pPr>
  </w:p>
  <w:p w:rsidR="00BE5FED" w:rsidRDefault="00DD13CE" w:rsidP="00BE5FED">
    <w:pPr>
      <w:pStyle w:val="bpuHeadSpon"/>
    </w:pPr>
    <w:r>
      <w:t>[</w:t>
    </w:r>
    <w:r w:rsidR="000B06E9">
      <w:t>1R</w:t>
    </w:r>
    <w:r>
      <w:t>]</w:t>
    </w:r>
    <w:r w:rsidR="000B06E9">
      <w:t xml:space="preserve"> </w:t>
    </w:r>
    <w:r w:rsidR="00BE5FED">
      <w:t xml:space="preserve">SCS for </w:t>
    </w:r>
    <w:r w:rsidR="00BE5FED" w:rsidRPr="00E53914">
      <w:rPr>
        <w:b/>
      </w:rPr>
      <w:t>S25</w:t>
    </w:r>
    <w:r w:rsidR="00BE5FED" w:rsidRPr="00BE5FED">
      <w:rPr>
        <w:rStyle w:val="bpuHeadSponChar"/>
      </w:rPr>
      <w:t>66</w:t>
    </w:r>
    <w:r w:rsidR="00BE5FED">
      <w:t xml:space="preserve"> DIEGNAN, GOPAL</w:t>
    </w:r>
  </w:p>
  <w:p w:rsidR="00BE5FED" w:rsidRDefault="00BE5FED" w:rsidP="00BE5FED">
    <w:pPr>
      <w:pStyle w:val="bpuHeadSpon"/>
    </w:pPr>
    <w:r>
      <w:fldChar w:fldCharType="begin"/>
    </w:r>
    <w:r>
      <w:instrText xml:space="preserve"> PAGE  \* MERGEFORMAT </w:instrText>
    </w:r>
    <w:r>
      <w:fldChar w:fldCharType="separate"/>
    </w:r>
    <w:r w:rsidR="00341788">
      <w:rPr>
        <w:noProof/>
      </w:rPr>
      <w:t>2</w:t>
    </w:r>
    <w:r>
      <w:fldChar w:fldCharType="end"/>
    </w:r>
  </w:p>
  <w:p w:rsidR="00BE5FED" w:rsidRDefault="00BE5FED" w:rsidP="00BE5FE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B1"/>
    <w:rsid w:val="00006580"/>
    <w:rsid w:val="00023412"/>
    <w:rsid w:val="000268D0"/>
    <w:rsid w:val="000314D2"/>
    <w:rsid w:val="0003458B"/>
    <w:rsid w:val="00035912"/>
    <w:rsid w:val="0004229A"/>
    <w:rsid w:val="00055600"/>
    <w:rsid w:val="00056BE2"/>
    <w:rsid w:val="000616BF"/>
    <w:rsid w:val="00062B9A"/>
    <w:rsid w:val="000673FE"/>
    <w:rsid w:val="00071473"/>
    <w:rsid w:val="000717ED"/>
    <w:rsid w:val="00083AE0"/>
    <w:rsid w:val="00085170"/>
    <w:rsid w:val="00087BBA"/>
    <w:rsid w:val="000951B4"/>
    <w:rsid w:val="000B06E9"/>
    <w:rsid w:val="000B0994"/>
    <w:rsid w:val="000B09E1"/>
    <w:rsid w:val="000B33DA"/>
    <w:rsid w:val="000B3E0D"/>
    <w:rsid w:val="000B4F15"/>
    <w:rsid w:val="000B70FA"/>
    <w:rsid w:val="000C3200"/>
    <w:rsid w:val="000C37EB"/>
    <w:rsid w:val="000C389F"/>
    <w:rsid w:val="000D58CD"/>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0035"/>
    <w:rsid w:val="001E681B"/>
    <w:rsid w:val="001F37C4"/>
    <w:rsid w:val="001F3F07"/>
    <w:rsid w:val="00203705"/>
    <w:rsid w:val="00205965"/>
    <w:rsid w:val="00205CB7"/>
    <w:rsid w:val="00206013"/>
    <w:rsid w:val="00214BAF"/>
    <w:rsid w:val="00216AF7"/>
    <w:rsid w:val="0022060D"/>
    <w:rsid w:val="00221E30"/>
    <w:rsid w:val="002250D7"/>
    <w:rsid w:val="00241F18"/>
    <w:rsid w:val="0024302A"/>
    <w:rsid w:val="00260E6A"/>
    <w:rsid w:val="002621E1"/>
    <w:rsid w:val="00263972"/>
    <w:rsid w:val="00265721"/>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33EE2"/>
    <w:rsid w:val="00341788"/>
    <w:rsid w:val="00341E54"/>
    <w:rsid w:val="00353AAB"/>
    <w:rsid w:val="00354F58"/>
    <w:rsid w:val="003559CD"/>
    <w:rsid w:val="003562E8"/>
    <w:rsid w:val="003727BE"/>
    <w:rsid w:val="003763FC"/>
    <w:rsid w:val="00382423"/>
    <w:rsid w:val="00384329"/>
    <w:rsid w:val="00386CB2"/>
    <w:rsid w:val="00390926"/>
    <w:rsid w:val="00396AFE"/>
    <w:rsid w:val="003A6E5F"/>
    <w:rsid w:val="003C2A08"/>
    <w:rsid w:val="003C2EC6"/>
    <w:rsid w:val="003D3A97"/>
    <w:rsid w:val="003D725B"/>
    <w:rsid w:val="003D7DB5"/>
    <w:rsid w:val="003D7F8C"/>
    <w:rsid w:val="003E2A7B"/>
    <w:rsid w:val="003E4904"/>
    <w:rsid w:val="003E4EBF"/>
    <w:rsid w:val="003E6877"/>
    <w:rsid w:val="003E7E45"/>
    <w:rsid w:val="003F092A"/>
    <w:rsid w:val="00400EEA"/>
    <w:rsid w:val="0040146F"/>
    <w:rsid w:val="00403D24"/>
    <w:rsid w:val="0040450A"/>
    <w:rsid w:val="004045F6"/>
    <w:rsid w:val="004058A9"/>
    <w:rsid w:val="00407CD5"/>
    <w:rsid w:val="00410F1D"/>
    <w:rsid w:val="00412714"/>
    <w:rsid w:val="00417390"/>
    <w:rsid w:val="0042704C"/>
    <w:rsid w:val="00433040"/>
    <w:rsid w:val="00433838"/>
    <w:rsid w:val="0043436E"/>
    <w:rsid w:val="0044757F"/>
    <w:rsid w:val="00452B15"/>
    <w:rsid w:val="0045474C"/>
    <w:rsid w:val="00460C64"/>
    <w:rsid w:val="0046437E"/>
    <w:rsid w:val="00467E26"/>
    <w:rsid w:val="00473246"/>
    <w:rsid w:val="00481378"/>
    <w:rsid w:val="00485935"/>
    <w:rsid w:val="00487F71"/>
    <w:rsid w:val="00491678"/>
    <w:rsid w:val="00496286"/>
    <w:rsid w:val="004B3FAA"/>
    <w:rsid w:val="004B6C42"/>
    <w:rsid w:val="004B7390"/>
    <w:rsid w:val="004C1DF0"/>
    <w:rsid w:val="004C7050"/>
    <w:rsid w:val="004D004F"/>
    <w:rsid w:val="004D05C9"/>
    <w:rsid w:val="004E3E31"/>
    <w:rsid w:val="004F4219"/>
    <w:rsid w:val="005018D0"/>
    <w:rsid w:val="00502C61"/>
    <w:rsid w:val="00504CFB"/>
    <w:rsid w:val="0051560D"/>
    <w:rsid w:val="005168CB"/>
    <w:rsid w:val="00532631"/>
    <w:rsid w:val="005334F8"/>
    <w:rsid w:val="00534D1B"/>
    <w:rsid w:val="00547D98"/>
    <w:rsid w:val="0055293D"/>
    <w:rsid w:val="0056218B"/>
    <w:rsid w:val="00563D0D"/>
    <w:rsid w:val="00565390"/>
    <w:rsid w:val="005660DA"/>
    <w:rsid w:val="00572F14"/>
    <w:rsid w:val="00575224"/>
    <w:rsid w:val="00580B81"/>
    <w:rsid w:val="005825A5"/>
    <w:rsid w:val="005839BB"/>
    <w:rsid w:val="00583DFF"/>
    <w:rsid w:val="0058633F"/>
    <w:rsid w:val="00586B0A"/>
    <w:rsid w:val="0059049B"/>
    <w:rsid w:val="005908D6"/>
    <w:rsid w:val="00593A9A"/>
    <w:rsid w:val="00597CB9"/>
    <w:rsid w:val="005A066A"/>
    <w:rsid w:val="005A28E6"/>
    <w:rsid w:val="005A7F2F"/>
    <w:rsid w:val="005C15B3"/>
    <w:rsid w:val="005C6CDF"/>
    <w:rsid w:val="005D2386"/>
    <w:rsid w:val="005E2ECF"/>
    <w:rsid w:val="005E7D1E"/>
    <w:rsid w:val="005F1DC3"/>
    <w:rsid w:val="005F6A5D"/>
    <w:rsid w:val="00611A4F"/>
    <w:rsid w:val="00625BEC"/>
    <w:rsid w:val="00625CC8"/>
    <w:rsid w:val="006326D3"/>
    <w:rsid w:val="0063322C"/>
    <w:rsid w:val="006358BE"/>
    <w:rsid w:val="00635E2F"/>
    <w:rsid w:val="00640EC0"/>
    <w:rsid w:val="0065003C"/>
    <w:rsid w:val="00651901"/>
    <w:rsid w:val="00651CC8"/>
    <w:rsid w:val="00653FA0"/>
    <w:rsid w:val="00654A40"/>
    <w:rsid w:val="00662C98"/>
    <w:rsid w:val="00662FC2"/>
    <w:rsid w:val="00667E9B"/>
    <w:rsid w:val="0067193B"/>
    <w:rsid w:val="0067350F"/>
    <w:rsid w:val="006739B6"/>
    <w:rsid w:val="0067690E"/>
    <w:rsid w:val="00681C25"/>
    <w:rsid w:val="00685E01"/>
    <w:rsid w:val="00686BE9"/>
    <w:rsid w:val="00687F79"/>
    <w:rsid w:val="006A7D4E"/>
    <w:rsid w:val="006B2994"/>
    <w:rsid w:val="006C06B7"/>
    <w:rsid w:val="006C2ADA"/>
    <w:rsid w:val="006C5C3F"/>
    <w:rsid w:val="006D1C32"/>
    <w:rsid w:val="006D505A"/>
    <w:rsid w:val="006E56BD"/>
    <w:rsid w:val="006E66C6"/>
    <w:rsid w:val="006F003C"/>
    <w:rsid w:val="006F3D55"/>
    <w:rsid w:val="006F4B0E"/>
    <w:rsid w:val="006F7FA2"/>
    <w:rsid w:val="00702FC4"/>
    <w:rsid w:val="00706469"/>
    <w:rsid w:val="00712342"/>
    <w:rsid w:val="00712FF3"/>
    <w:rsid w:val="00715E0D"/>
    <w:rsid w:val="007176BF"/>
    <w:rsid w:val="00720465"/>
    <w:rsid w:val="007265E9"/>
    <w:rsid w:val="00726ACA"/>
    <w:rsid w:val="00727C78"/>
    <w:rsid w:val="00730C2A"/>
    <w:rsid w:val="0073436B"/>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83B1F"/>
    <w:rsid w:val="007908A3"/>
    <w:rsid w:val="00793A4D"/>
    <w:rsid w:val="007A29EE"/>
    <w:rsid w:val="007A5959"/>
    <w:rsid w:val="007A6B78"/>
    <w:rsid w:val="007B25F4"/>
    <w:rsid w:val="007B58BF"/>
    <w:rsid w:val="007B59A6"/>
    <w:rsid w:val="007C0F65"/>
    <w:rsid w:val="007D4F1A"/>
    <w:rsid w:val="007D55BE"/>
    <w:rsid w:val="007D7467"/>
    <w:rsid w:val="007E06CB"/>
    <w:rsid w:val="007E1527"/>
    <w:rsid w:val="007E1AEF"/>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AE1"/>
    <w:rsid w:val="008B7B8C"/>
    <w:rsid w:val="008C6C0B"/>
    <w:rsid w:val="008C6D3C"/>
    <w:rsid w:val="008D33AD"/>
    <w:rsid w:val="008D3E49"/>
    <w:rsid w:val="008E4B4D"/>
    <w:rsid w:val="008E60EC"/>
    <w:rsid w:val="008F1224"/>
    <w:rsid w:val="008F27D7"/>
    <w:rsid w:val="008F43F9"/>
    <w:rsid w:val="008F50D8"/>
    <w:rsid w:val="008F6930"/>
    <w:rsid w:val="00900693"/>
    <w:rsid w:val="0090378D"/>
    <w:rsid w:val="0090590D"/>
    <w:rsid w:val="0091132C"/>
    <w:rsid w:val="00913663"/>
    <w:rsid w:val="0091403D"/>
    <w:rsid w:val="009203BF"/>
    <w:rsid w:val="00923F2B"/>
    <w:rsid w:val="00924E1B"/>
    <w:rsid w:val="00925842"/>
    <w:rsid w:val="00927765"/>
    <w:rsid w:val="00932DF2"/>
    <w:rsid w:val="00932EFA"/>
    <w:rsid w:val="00934D0B"/>
    <w:rsid w:val="00936E1D"/>
    <w:rsid w:val="00941DC8"/>
    <w:rsid w:val="00947406"/>
    <w:rsid w:val="009659CC"/>
    <w:rsid w:val="00967195"/>
    <w:rsid w:val="00974B12"/>
    <w:rsid w:val="00977A01"/>
    <w:rsid w:val="009825E5"/>
    <w:rsid w:val="00983972"/>
    <w:rsid w:val="00987E27"/>
    <w:rsid w:val="00992BA2"/>
    <w:rsid w:val="009961A8"/>
    <w:rsid w:val="009A5CC9"/>
    <w:rsid w:val="009B169B"/>
    <w:rsid w:val="009B6484"/>
    <w:rsid w:val="009C7B57"/>
    <w:rsid w:val="009D05E9"/>
    <w:rsid w:val="009D2B21"/>
    <w:rsid w:val="009E1A12"/>
    <w:rsid w:val="009E2EF5"/>
    <w:rsid w:val="009E69F6"/>
    <w:rsid w:val="009E6C52"/>
    <w:rsid w:val="009F39E4"/>
    <w:rsid w:val="009F5D6A"/>
    <w:rsid w:val="009F5E86"/>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34AF"/>
    <w:rsid w:val="00AD5FA9"/>
    <w:rsid w:val="00AD6E10"/>
    <w:rsid w:val="00AE047E"/>
    <w:rsid w:val="00AE45E8"/>
    <w:rsid w:val="00AE52B3"/>
    <w:rsid w:val="00AF0808"/>
    <w:rsid w:val="00AF2240"/>
    <w:rsid w:val="00AF5C79"/>
    <w:rsid w:val="00AF6676"/>
    <w:rsid w:val="00AF70F7"/>
    <w:rsid w:val="00AF7B5E"/>
    <w:rsid w:val="00B01D7A"/>
    <w:rsid w:val="00B020FF"/>
    <w:rsid w:val="00B0271F"/>
    <w:rsid w:val="00B045DE"/>
    <w:rsid w:val="00B04C3E"/>
    <w:rsid w:val="00B1301A"/>
    <w:rsid w:val="00B15D0A"/>
    <w:rsid w:val="00B30C67"/>
    <w:rsid w:val="00B341E8"/>
    <w:rsid w:val="00B411B5"/>
    <w:rsid w:val="00B43056"/>
    <w:rsid w:val="00B43E12"/>
    <w:rsid w:val="00B45111"/>
    <w:rsid w:val="00B52E90"/>
    <w:rsid w:val="00B567B5"/>
    <w:rsid w:val="00B66FFE"/>
    <w:rsid w:val="00B8189D"/>
    <w:rsid w:val="00B92A1C"/>
    <w:rsid w:val="00B94A50"/>
    <w:rsid w:val="00B96F5E"/>
    <w:rsid w:val="00BA097B"/>
    <w:rsid w:val="00BA51E3"/>
    <w:rsid w:val="00BB5979"/>
    <w:rsid w:val="00BB5C09"/>
    <w:rsid w:val="00BC0679"/>
    <w:rsid w:val="00BC3609"/>
    <w:rsid w:val="00BC54C0"/>
    <w:rsid w:val="00BD5EDE"/>
    <w:rsid w:val="00BE22D0"/>
    <w:rsid w:val="00BE5A48"/>
    <w:rsid w:val="00BE5FED"/>
    <w:rsid w:val="00BE6CBD"/>
    <w:rsid w:val="00BF0ED0"/>
    <w:rsid w:val="00BF2DFA"/>
    <w:rsid w:val="00BF7A44"/>
    <w:rsid w:val="00BF7FC8"/>
    <w:rsid w:val="00C02E49"/>
    <w:rsid w:val="00C2057B"/>
    <w:rsid w:val="00C22FA2"/>
    <w:rsid w:val="00C23588"/>
    <w:rsid w:val="00C25C88"/>
    <w:rsid w:val="00C319BD"/>
    <w:rsid w:val="00C347FF"/>
    <w:rsid w:val="00C36A4F"/>
    <w:rsid w:val="00C421C1"/>
    <w:rsid w:val="00C43CDD"/>
    <w:rsid w:val="00C53071"/>
    <w:rsid w:val="00C53F0B"/>
    <w:rsid w:val="00C5726A"/>
    <w:rsid w:val="00C6019A"/>
    <w:rsid w:val="00C61F36"/>
    <w:rsid w:val="00C64025"/>
    <w:rsid w:val="00C71074"/>
    <w:rsid w:val="00C72ED5"/>
    <w:rsid w:val="00C74C67"/>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398F"/>
    <w:rsid w:val="00CD5704"/>
    <w:rsid w:val="00CE0C59"/>
    <w:rsid w:val="00CE4722"/>
    <w:rsid w:val="00CE5F58"/>
    <w:rsid w:val="00CE6494"/>
    <w:rsid w:val="00CE6AFF"/>
    <w:rsid w:val="00CF3172"/>
    <w:rsid w:val="00CF4CB9"/>
    <w:rsid w:val="00D019F7"/>
    <w:rsid w:val="00D01C76"/>
    <w:rsid w:val="00D10BF3"/>
    <w:rsid w:val="00D12EC5"/>
    <w:rsid w:val="00D17CB7"/>
    <w:rsid w:val="00D235DB"/>
    <w:rsid w:val="00D237DC"/>
    <w:rsid w:val="00D271B3"/>
    <w:rsid w:val="00D30873"/>
    <w:rsid w:val="00D41204"/>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B7C8E"/>
    <w:rsid w:val="00DC0972"/>
    <w:rsid w:val="00DC2F7E"/>
    <w:rsid w:val="00DC5E6D"/>
    <w:rsid w:val="00DC6B96"/>
    <w:rsid w:val="00DD13CE"/>
    <w:rsid w:val="00DD223E"/>
    <w:rsid w:val="00DD3A3F"/>
    <w:rsid w:val="00DF1689"/>
    <w:rsid w:val="00DF1E16"/>
    <w:rsid w:val="00E02BE4"/>
    <w:rsid w:val="00E04ECE"/>
    <w:rsid w:val="00E061F9"/>
    <w:rsid w:val="00E0620A"/>
    <w:rsid w:val="00E075A5"/>
    <w:rsid w:val="00E171D1"/>
    <w:rsid w:val="00E241B0"/>
    <w:rsid w:val="00E31BC0"/>
    <w:rsid w:val="00E50795"/>
    <w:rsid w:val="00E53914"/>
    <w:rsid w:val="00E53F0C"/>
    <w:rsid w:val="00E57D97"/>
    <w:rsid w:val="00E57EEC"/>
    <w:rsid w:val="00E707FA"/>
    <w:rsid w:val="00E72FA6"/>
    <w:rsid w:val="00E77E4A"/>
    <w:rsid w:val="00E85E9A"/>
    <w:rsid w:val="00EA424B"/>
    <w:rsid w:val="00EA78CF"/>
    <w:rsid w:val="00EB7763"/>
    <w:rsid w:val="00EB7E5B"/>
    <w:rsid w:val="00EC4F39"/>
    <w:rsid w:val="00ED0AF3"/>
    <w:rsid w:val="00ED1C6D"/>
    <w:rsid w:val="00ED51EA"/>
    <w:rsid w:val="00EE10DE"/>
    <w:rsid w:val="00EE1829"/>
    <w:rsid w:val="00EE73AB"/>
    <w:rsid w:val="00EF039D"/>
    <w:rsid w:val="00EF2418"/>
    <w:rsid w:val="00EF764E"/>
    <w:rsid w:val="00F00E73"/>
    <w:rsid w:val="00F13B2A"/>
    <w:rsid w:val="00F1712B"/>
    <w:rsid w:val="00F20D31"/>
    <w:rsid w:val="00F2189E"/>
    <w:rsid w:val="00F22271"/>
    <w:rsid w:val="00F23CB0"/>
    <w:rsid w:val="00F25F86"/>
    <w:rsid w:val="00F447B5"/>
    <w:rsid w:val="00F469B9"/>
    <w:rsid w:val="00F548B8"/>
    <w:rsid w:val="00F836B1"/>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CD2FEA"/>
  <w15:docId w15:val="{665BE7AE-7317-431F-B4B4-8835AA97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semiHidden/>
    <w:unhideWhenUsed/>
    <w:rsid w:val="00CD39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398F"/>
    <w:rPr>
      <w:rFonts w:ascii="Segoe UI" w:hAnsi="Segoe UI" w:cs="Segoe UI"/>
      <w:spacing w:val="4"/>
      <w:sz w:val="18"/>
      <w:szCs w:val="18"/>
    </w:rPr>
  </w:style>
  <w:style w:type="character" w:styleId="LineNumber">
    <w:name w:val="line number"/>
    <w:basedOn w:val="DefaultParagraphFont"/>
    <w:semiHidden/>
    <w:unhideWhenUsed/>
    <w:rsid w:val="00BE5FED"/>
  </w:style>
  <w:style w:type="character" w:customStyle="1" w:styleId="FooterChar">
    <w:name w:val="Footer Char"/>
    <w:basedOn w:val="DefaultParagraphFont"/>
    <w:link w:val="Footer"/>
    <w:rsid w:val="000B06E9"/>
    <w:rPr>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50028">
      <w:bodyDiv w:val="1"/>
      <w:marLeft w:val="0"/>
      <w:marRight w:val="0"/>
      <w:marTop w:val="0"/>
      <w:marBottom w:val="0"/>
      <w:divBdr>
        <w:top w:val="none" w:sz="0" w:space="0" w:color="auto"/>
        <w:left w:val="none" w:sz="0" w:space="0" w:color="auto"/>
        <w:bottom w:val="none" w:sz="0" w:space="0" w:color="auto"/>
        <w:right w:val="none" w:sz="0" w:space="0" w:color="auto"/>
      </w:divBdr>
    </w:div>
    <w:div w:id="19345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84FD-6AF7-456D-9CF4-BE5099F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Pages>
  <Words>943</Words>
  <Characters>5137</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S2566 S2677 1R SCS </vt:lpstr>
    </vt:vector>
  </TitlesOfParts>
  <Manager>R229</Manager>
  <Company>Office of Legislative Services</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S2566 S2677 1R SCS</dc:title>
  <dc:creator>Senators  DIEGNAN and GOPAL</dc:creator>
  <cp:keywords>S2566|3|HS |259|219|122|!||</cp:keywords>
  <dc:description>Adopted September 14, 2020_x000d_
Amended October 29, 2020</dc:description>
  <cp:lastModifiedBy>Bell, Careema</cp:lastModifiedBy>
  <cp:revision>2</cp:revision>
  <cp:lastPrinted>2020-10-30T12:54:00Z</cp:lastPrinted>
  <dcterms:created xsi:type="dcterms:W3CDTF">2020-10-30T17:45:00Z</dcterms:created>
  <dcterms:modified xsi:type="dcterms:W3CDTF">2020-10-30T17:45:00Z</dcterms:modified>
  <cp:category>s.1: C.26:2H-12.89;s.2: T&amp;E to 2020/75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